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EA172D" w14:textId="412D83BD" w:rsidR="00B171EE" w:rsidRPr="00A22C01" w:rsidRDefault="00B171EE" w:rsidP="00A22C01">
      <w:pPr>
        <w:rPr>
          <w:b/>
          <w:bCs/>
        </w:rPr>
      </w:pPr>
      <w:r w:rsidRPr="00A22C01">
        <w:rPr>
          <w:b/>
          <w:bCs/>
        </w:rPr>
        <w:t>УДК/ББК</w:t>
      </w:r>
    </w:p>
    <w:p w14:paraId="2D86ECC5" w14:textId="51F71078" w:rsidR="00B171EE" w:rsidRPr="00A22C01" w:rsidRDefault="00B171EE" w:rsidP="00A22C01">
      <w:pPr>
        <w:jc w:val="right"/>
        <w:rPr>
          <w:b/>
          <w:bCs/>
        </w:rPr>
      </w:pPr>
      <w:r w:rsidRPr="00A22C01">
        <w:rPr>
          <w:b/>
          <w:bCs/>
        </w:rPr>
        <w:t>Соболева В.</w:t>
      </w:r>
      <w:r w:rsidR="00C53B1C">
        <w:rPr>
          <w:b/>
          <w:bCs/>
        </w:rPr>
        <w:t xml:space="preserve"> </w:t>
      </w:r>
      <w:r w:rsidRPr="00A22C01">
        <w:rPr>
          <w:b/>
          <w:bCs/>
        </w:rPr>
        <w:t>С.</w:t>
      </w:r>
    </w:p>
    <w:p w14:paraId="20560F24" w14:textId="7FEA7E2A" w:rsidR="00B171EE" w:rsidRPr="00A22C01" w:rsidRDefault="00B171EE" w:rsidP="00A22C01">
      <w:pPr>
        <w:jc w:val="center"/>
        <w:rPr>
          <w:b/>
          <w:bCs/>
        </w:rPr>
      </w:pPr>
      <w:r w:rsidRPr="00A22C01">
        <w:rPr>
          <w:b/>
          <w:bCs/>
        </w:rPr>
        <w:t>МАЛЫЕ И СРЕДНИЕ ГОРОДА РОССИИ: К ПОИСКУ ПУТЕЙ МОДЕРНИЗАЦИИ</w:t>
      </w:r>
    </w:p>
    <w:p w14:paraId="2920EB78" w14:textId="77777777" w:rsidR="00B171EE" w:rsidRPr="00B171EE" w:rsidRDefault="00B171EE" w:rsidP="00A22C01"/>
    <w:p w14:paraId="5ED8F785" w14:textId="77777777" w:rsidR="00B171EE" w:rsidRPr="00B171EE" w:rsidRDefault="00B171EE" w:rsidP="00A22C01">
      <w:r w:rsidRPr="00B171EE">
        <w:t>Малые и средние города России играют ключевую роль в региональном развитии, но сталкиваются с целым рядом проблем. В статье рассматриваются основные вызовы, стоящие перед ними, и возможные пути модернизации для повышения качества жизни и устойчивого роста.</w:t>
      </w:r>
    </w:p>
    <w:p w14:paraId="56676888" w14:textId="0BA197C6" w:rsidR="00B171EE" w:rsidRDefault="00B171EE" w:rsidP="00A22C01">
      <w:r w:rsidRPr="00B171EE">
        <w:t xml:space="preserve">Ключевые слова: </w:t>
      </w:r>
      <w:r w:rsidR="00B42637">
        <w:t>м</w:t>
      </w:r>
      <w:r w:rsidR="00B42637" w:rsidRPr="00B42637">
        <w:t>одернизация</w:t>
      </w:r>
      <w:r w:rsidR="00B42637">
        <w:t>, м</w:t>
      </w:r>
      <w:r w:rsidR="00B42637" w:rsidRPr="00B42637">
        <w:t>алые и средние города</w:t>
      </w:r>
      <w:r w:rsidR="00B42637">
        <w:t>, э</w:t>
      </w:r>
      <w:r w:rsidR="00B42637" w:rsidRPr="00B42637">
        <w:t>кономическое развитие</w:t>
      </w:r>
      <w:r w:rsidR="00B42637">
        <w:t>, инфр</w:t>
      </w:r>
      <w:r w:rsidR="00B42637" w:rsidRPr="00B42637">
        <w:t>аструктура</w:t>
      </w:r>
      <w:r w:rsidR="00B42637">
        <w:t>, к</w:t>
      </w:r>
      <w:r w:rsidR="00B42637" w:rsidRPr="00B42637">
        <w:t>ультурное наследие</w:t>
      </w:r>
      <w:r w:rsidR="00B42637">
        <w:t>, местное</w:t>
      </w:r>
      <w:r w:rsidR="00B42637" w:rsidRPr="00B42637">
        <w:t xml:space="preserve"> самоуправление</w:t>
      </w:r>
      <w:r w:rsidR="00B42637">
        <w:t>.</w:t>
      </w:r>
    </w:p>
    <w:p w14:paraId="7B3FDABB" w14:textId="77777777" w:rsidR="00A22C01" w:rsidRDefault="00A22C01" w:rsidP="00A22C01"/>
    <w:p w14:paraId="03DA551B" w14:textId="35E5C8A4" w:rsidR="00A22C01" w:rsidRPr="00A22C01" w:rsidRDefault="00A22C01" w:rsidP="00C60ED6">
      <w:r w:rsidRPr="00A22C01">
        <w:t xml:space="preserve">Малые и средние города составляют основу территориальной структуры России. В них проживает значительная часть населения страны, они выполняют важные экономические, социальные и культурные функции, обеспечивая связность между мегаполисами и сельскими территориями. </w:t>
      </w:r>
      <w:r w:rsidR="00C60ED6">
        <w:t>«</w:t>
      </w:r>
      <w:r w:rsidR="00C60ED6" w:rsidRPr="00C60ED6">
        <w:t>Малые города в России обозначают и «держат» нашу огромную территорию под нарастающим внешним давлением, их разветвленная сеть была и остаётся важным геополитическим фактором пространственной стабильности Российской Федерации</w:t>
      </w:r>
      <w:r w:rsidR="00C60ED6">
        <w:t>»</w:t>
      </w:r>
      <w:r w:rsidR="00C60ED6" w:rsidRPr="00C60ED6">
        <w:t xml:space="preserve"> [1,</w:t>
      </w:r>
      <w:r w:rsidR="00C60ED6">
        <w:t xml:space="preserve"> с. 20</w:t>
      </w:r>
      <w:r w:rsidR="00C60ED6" w:rsidRPr="00C60ED6">
        <w:t>].</w:t>
      </w:r>
      <w:r w:rsidR="00C60ED6">
        <w:t xml:space="preserve">  </w:t>
      </w:r>
      <w:r w:rsidRPr="00A22C01">
        <w:t>Однако на протяжении последних десятилетий многие из них столкнулись с глубокими вызовами: деиндустриализация, отток населения, сокращение рабочих мест, деградация инфраструктуры и снижение уровня жизни. Эти процессы особенно остро проявляются в монофункциональных городах, где экономика зависит от одного крупного предприятия.</w:t>
      </w:r>
      <w:r w:rsidR="00A94020">
        <w:t xml:space="preserve"> </w:t>
      </w:r>
      <w:r w:rsidRPr="00A22C01">
        <w:t>При этом потенциал таких городов остаётся значительным. Благодаря компактности, локальной идентичности, доступности ресурсов и возможностям для устойчивого развития, малые и средние города могут стать точками роста и инноваций. Ключевым вопросом становится поиск путей их модернизации, которые позволят не только преодолеть текущие проблемы, но и обеспечить стратегическое развитие в долгосрочной перспективе</w:t>
      </w:r>
      <w:r w:rsidR="00807BE5" w:rsidRPr="00807BE5">
        <w:t xml:space="preserve"> [1]</w:t>
      </w:r>
      <w:r w:rsidRPr="00A22C01">
        <w:t>.</w:t>
      </w:r>
    </w:p>
    <w:p w14:paraId="400B82D2" w14:textId="6921CDC9" w:rsidR="00A22C01" w:rsidRPr="00A22C01" w:rsidRDefault="00A22C01" w:rsidP="00A94020">
      <w:r w:rsidRPr="00A22C01">
        <w:t xml:space="preserve">Малые и средние города России, численность населения которых, как правило, не превышает 100–250 тысяч человек, находятся в уязвимом положении. </w:t>
      </w:r>
      <w:r w:rsidR="00A33F93">
        <w:t>Часто т</w:t>
      </w:r>
      <w:r w:rsidRPr="00A22C01">
        <w:t>аки</w:t>
      </w:r>
      <w:r w:rsidR="00A33F93">
        <w:t>е</w:t>
      </w:r>
      <w:r w:rsidRPr="00A22C01">
        <w:t xml:space="preserve"> город</w:t>
      </w:r>
      <w:r w:rsidR="00A33F93">
        <w:t>а</w:t>
      </w:r>
      <w:r w:rsidRPr="00A22C01">
        <w:t xml:space="preserve"> имеют признаки социально-экономической депрессии: снижается численность населения, растёт безработица, падает инвестиционная активность. Основной проблемой остаётся структурная слабость их экономики — значительная доля таких городов является монопрофильными, где вся занятость завязана на одном или двух предприятиях. Закрытие или сокращение производства приводит к резкому социальному спаду.</w:t>
      </w:r>
      <w:r w:rsidR="00A94020">
        <w:t xml:space="preserve"> </w:t>
      </w:r>
      <w:r w:rsidRPr="00A22C01">
        <w:t>По оценке Счётной палаты РФ, в малых и средних городах в два раза выше, чем в мегаполисах, уровень износа инженерной инфраструктуры: водопроводы, теплосети, канализация зачастую были построены ещё в советское время и с тех пор системно не обновлялись. Это приводит к высоким потерям ресурсов, аварийности и росту затрат на содержание. Также недостаточно развита транспортная доступность: многие города не имеют регулярного железнодорожного или авиатранспортного сообщения, а дорожная сеть нередко требует капитального ремонта.</w:t>
      </w:r>
    </w:p>
    <w:p w14:paraId="14A67D38" w14:textId="0051D51B" w:rsidR="00A22C01" w:rsidRPr="00A22C01" w:rsidRDefault="00A22C01" w:rsidP="00A22C01">
      <w:r w:rsidRPr="00A22C01">
        <w:t xml:space="preserve">Отдельную угрозу представляет демографический дисбаланс. Молодёжь уезжает в крупные города ради образования и трудоустройства, а остающееся население стремительно стареет. </w:t>
      </w:r>
      <w:r w:rsidR="00A33F93" w:rsidRPr="00A33F93">
        <w:t>С 1989 по 2020 годы численность населения сократилась примерно в 70% городов России</w:t>
      </w:r>
      <w:r w:rsidR="00A33F93">
        <w:rPr>
          <w:rStyle w:val="af"/>
        </w:rPr>
        <w:footnoteReference w:id="1"/>
      </w:r>
      <w:r w:rsidRPr="00A22C01">
        <w:t>. Параллельно снижается уровень и доступность социальных услуг: закрываются школы, поликлиники, досуговые учреждения. Врачей и учителей не хватает, а специалисты неохотно переезжают в такие города из-за низких зарплат и отсутствия карьерных перспектив</w:t>
      </w:r>
      <w:r w:rsidR="00807BE5" w:rsidRPr="00807BE5">
        <w:t xml:space="preserve"> [2]</w:t>
      </w:r>
      <w:r w:rsidRPr="00A22C01">
        <w:t>.</w:t>
      </w:r>
    </w:p>
    <w:p w14:paraId="521E9965" w14:textId="77777777" w:rsidR="00A22C01" w:rsidRDefault="00A22C01" w:rsidP="00A22C01">
      <w:r w:rsidRPr="00A22C01">
        <w:t xml:space="preserve">Экономическое положение усугубляется ограниченным бюджетным потенциалом местных властей. Налоговая база мала, дотационная зависимость высока: в некоторых городах </w:t>
      </w:r>
      <w:r w:rsidRPr="00A22C01">
        <w:lastRenderedPageBreak/>
        <w:t>трансферты из федерального бюджета составляют до 70% доходов. Это ограничивает возможности по реализации собственных программ развития. В результате малые и средние города оказываются в замкнутом круге: отсутствие инвестиций ведёт к ухудшению условий жизни, что, в свою очередь, провоцирует отток населения и дальнейшую деградацию.</w:t>
      </w:r>
    </w:p>
    <w:p w14:paraId="243D6F32" w14:textId="59FF9985" w:rsidR="00A94020" w:rsidRPr="00A94020" w:rsidRDefault="00A94020" w:rsidP="00A94020">
      <w:r w:rsidRPr="00A94020">
        <w:t xml:space="preserve">Малые и средние города России, несмотря на структурные ограничения и демографическое давление, сохраняют важную роль в обеспечении пространственной целостности страны и формировании основ устойчивого развития. </w:t>
      </w:r>
      <w:r w:rsidR="00A33F93" w:rsidRPr="00A33F93">
        <w:t>Сегодня в нашей стране насчитывается 1069 городов, 71% из них - с населением менее 50 000 человек</w:t>
      </w:r>
      <w:r w:rsidR="00A33F93">
        <w:rPr>
          <w:rStyle w:val="af"/>
        </w:rPr>
        <w:footnoteReference w:id="2"/>
      </w:r>
      <w:r w:rsidRPr="00A94020">
        <w:t>. Это свидетельствует о значительном демографическом и территориальном охвате, а значит — и о потенциале влияния на общее социально-экономическое развитие страны.</w:t>
      </w:r>
    </w:p>
    <w:p w14:paraId="11B6B054" w14:textId="2C160380" w:rsidR="00A94020" w:rsidRPr="00A94020" w:rsidRDefault="00A94020" w:rsidP="00A94020">
      <w:r w:rsidRPr="00A94020">
        <w:t>Одним из главных преимуществ таких городов является их способность служить узлами локальной экономики. В условиях деиндустриализации и трансформации производственного профиля возрастает роль малого и среднего бизнеса, локальных кластеров и агропромышленной кооперации. Компактность городской структуры, низкие транзакционные издержки, более доступная стоимость ресурсов создают благоприятные условия для предпринимательства в сферах торговли, услуг, переработки сельхозпродукции и туризма. Например, в ряде городов Центральной России успешно развиваются локальные кластеры пищевой и текстильной промышленности, ориентированные как на внутренний рынок, так и на экспорт.</w:t>
      </w:r>
      <w:r>
        <w:t xml:space="preserve"> </w:t>
      </w:r>
      <w:r w:rsidRPr="00A94020">
        <w:t>Социальное пространство малых городов отличается высоким уровнем горизонтальных связей. Здесь легче реализуются проекты с участием местных сообществ: от благоустройства до культурных инициатив. Слабая анонимность социальной среды способствует включённости населения в процессы местного развития. При наличии механизмов поддержки такие города способны демонстрировать высокую эффективность программ, направленных на развитие гражданского участия и общественного самоуправления</w:t>
      </w:r>
      <w:r w:rsidR="00A33F93" w:rsidRPr="00A33F93">
        <w:t xml:space="preserve"> [3]</w:t>
      </w:r>
      <w:r w:rsidRPr="00A94020">
        <w:t>.</w:t>
      </w:r>
    </w:p>
    <w:p w14:paraId="28975019" w14:textId="67A4BA9E" w:rsidR="00A94020" w:rsidRPr="00A94020" w:rsidRDefault="00A94020" w:rsidP="00A94020">
      <w:r w:rsidRPr="00A94020">
        <w:t xml:space="preserve">Особое значение имеет культурно-исторический потенциал. Многие малые города обладают ценным архитектурным наследием, традициями и укоренённой идентичностью, что формирует устойчивый ресурс для развития культурного и событийного туризма. В городах Золотого кольца, Поволжья и Северо-Запада реализуются программы по ревитализации исторической застройки и созданию культурных кластеров, привлекающих как туристов, так и инвестиции. </w:t>
      </w:r>
    </w:p>
    <w:p w14:paraId="4FE890CB" w14:textId="77777777" w:rsidR="00A94020" w:rsidRPr="00A94020" w:rsidRDefault="00A94020" w:rsidP="00A94020">
      <w:r w:rsidRPr="00A94020">
        <w:t>Существенным ресурсом развития становится и территориальная функция малых и средних городов. Они обеспечивают связность между крупными агломерациями и сельскими районами, выступая как транспортно-логистические и административные узлы. При развитии межмуниципального сотрудничества и транспортной доступности такие города могут стать точками роста в периферийных регионах, снижая уровень пространственной неравномерности.</w:t>
      </w:r>
    </w:p>
    <w:p w14:paraId="2807A10D" w14:textId="77777777" w:rsidR="00A94020" w:rsidRPr="00A94020" w:rsidRDefault="00A94020" w:rsidP="00A94020">
      <w:r w:rsidRPr="00A94020">
        <w:t>Наконец, управленческая гибкость и возможность пилотного внедрения инноваций делают малые города удобной площадкой для апробации новых моделей городской политики. Примеры цифровизации ЖКХ, внедрения «умного освещения» и экологического мониторинга в ряде небольших городов Псковской, Вологодской и Белгородской областей показывают, что даже при ограниченных ресурсах возможно запускать эффективные управленческие и технологические решения.</w:t>
      </w:r>
    </w:p>
    <w:p w14:paraId="35E6B4E1" w14:textId="77777777" w:rsidR="00A94020" w:rsidRPr="00A94020" w:rsidRDefault="00A94020" w:rsidP="00A94020">
      <w:r w:rsidRPr="00A94020">
        <w:t xml:space="preserve">Современная повестка пространственного развития России требует не просто сохранения малых и средних городов, а их активного включения в процессы экономической, социальной и технологической трансформации. В условиях усиливающейся демографической поляризации и концентрации ресурсов в крупнейших агломерациях именно такие города могут </w:t>
      </w:r>
      <w:r w:rsidRPr="00A94020">
        <w:lastRenderedPageBreak/>
        <w:t>стать точками устойчивого роста — при условии стратегической модернизации, ориентированной на их реальные возможности и потребности.</w:t>
      </w:r>
    </w:p>
    <w:p w14:paraId="6EB5E684" w14:textId="77777777" w:rsidR="00A94020" w:rsidRPr="00A94020" w:rsidRDefault="00A94020" w:rsidP="00A94020">
      <w:r w:rsidRPr="00A94020">
        <w:t>Первостепенной задачей становится диверсификация экономической базы. Многие малые города в постсоветский период унаследовали монопрофильную структуру экономики, что делает их уязвимыми к внешним шокам. Решением может стать поддержка локального предпринимательства, создание условий для развития малых производств, ремесленных форм занятости, аграрной кооперации и цифровых сервисов. В ряде регионов успешно реализуются программы по запуску бизнес-инкубаторов, локальных индустриальных парков и акселераторов для сельских стартапов. Такая инфраструктура способствует формированию устойчивых рабочих мест и снижает зависимость от единственного градообразующего предприятия.</w:t>
      </w:r>
    </w:p>
    <w:p w14:paraId="53593A6E" w14:textId="2695459D" w:rsidR="00A94020" w:rsidRPr="00A94020" w:rsidRDefault="00A94020" w:rsidP="00A94020">
      <w:r w:rsidRPr="00A94020">
        <w:t>Вторым ключевым направлением является модернизация инфраструктуры. Состояние инженерных сетей, транспортной связности, социальной инфраструктуры во многих малых городах остаётся критическим. При этом именно базовая инфраструктура задаёт рамки для любого экономического роста. Реконструкция систем водоснабжения, теплоснабжения, модернизация дорожной сети, строительство современных социальных объектов — всё это формирует качественную городскую среду. Современные подходы предполагают не только масштабные капитальные вложения, но и внедрение энергоэффективных решений, развитие общественных пространств и ориентированность на экологическую устойчивость</w:t>
      </w:r>
      <w:r w:rsidR="00A33F93" w:rsidRPr="00A33F93">
        <w:t xml:space="preserve"> [4]</w:t>
      </w:r>
      <w:r w:rsidRPr="00A94020">
        <w:t>.</w:t>
      </w:r>
    </w:p>
    <w:p w14:paraId="21237E21" w14:textId="77777777" w:rsidR="00A94020" w:rsidRPr="00A94020" w:rsidRDefault="00A94020" w:rsidP="00A94020">
      <w:r w:rsidRPr="00A94020">
        <w:t>Следующий вектор — инвестиции в человеческий капитал. Образование и здравоохранение в малых городах часто сталкиваются с дефицитом кадров, устаревшей материальной базой и оттоком молодёжи. Приоритетной задачей становится обеспечение доступа к качественным услугам: модернизация школ, подключение к цифровым образовательным платформам, оснащение медучреждений современным оборудованием, программы привлечения специалистов с предоставлением жилья и социальных гарантий. Дополнительный акцент должен делаться на развитии программ непрерывного образования и повышения квалификации для взрослого населения, особенно в условиях структурной трансформации рынка труда.</w:t>
      </w:r>
    </w:p>
    <w:p w14:paraId="69AA8E9A" w14:textId="77777777" w:rsidR="00A94020" w:rsidRPr="00A94020" w:rsidRDefault="00A94020" w:rsidP="00A94020">
      <w:r w:rsidRPr="00A94020">
        <w:t>Особую роль играет укрепление идентичности и развитие культурного потенциала. Малые города могут стать точками культурной активности, креативных индустрий и событийного туризма. Поддержка местных инициатив, восстановление исторической застройки, развитие культурных центров и интеграция традиций в современное городское пространство позволяет не только формировать уникальный облик, но и стимулировать приток людей и инвестиций. Опыт таких городов, как Суздаль, Каргополь или Елабуга, демонстрирует эффективность культурных стратегий развития.</w:t>
      </w:r>
    </w:p>
    <w:p w14:paraId="4F2DA93F" w14:textId="49175993" w:rsidR="00A94020" w:rsidRPr="00A94020" w:rsidRDefault="00A94020" w:rsidP="00A94020">
      <w:r w:rsidRPr="00A94020">
        <w:t>Наконец, важнейшее условие устойчивой модернизации — развитие местного самоуправления. Малые города, благодаря компактности и социальной близости, располагают потенциалом для апробации гибких форм управления. Повышение самостоятельности муниципалитетов, цифровизация управленческих процессов, развитие механизмов гражданского участия создают предпосылки для того, чтобы жители становились соавторами изменений, а не только объектами административных решений.</w:t>
      </w:r>
      <w:r w:rsidR="00C60ED6" w:rsidRPr="00C60ED6">
        <w:t xml:space="preserve"> </w:t>
      </w:r>
      <w:r w:rsidR="00C60ED6">
        <w:t>«Ва</w:t>
      </w:r>
      <w:r w:rsidR="00C60ED6" w:rsidRPr="00C60ED6">
        <w:t>жно выработать принципы низового местного административно-территориального деления и статистического учёта процессов, происходящих в сети населённых мест страны, которые создадут необходимые условия для раз</w:t>
      </w:r>
      <w:r w:rsidR="00C60ED6" w:rsidRPr="00C60ED6">
        <w:t>вития малых городов; прекратить процесс укрупнения муниципалитетов и их органов самоуправления путем формального слияния малых городских и сельских населённых мест; создать привлекательные условия для восстановления в районных центрах «оптимизированных» и создания новых отделений государственных и частных финансовых учреждений</w:t>
      </w:r>
      <w:r w:rsidR="00C60ED6">
        <w:t xml:space="preserve">» </w:t>
      </w:r>
      <w:r w:rsidR="00C60ED6" w:rsidRPr="00C60ED6">
        <w:t>[1</w:t>
      </w:r>
      <w:r w:rsidR="00C60ED6">
        <w:t>, с. 29</w:t>
      </w:r>
      <w:r w:rsidR="00C60ED6" w:rsidRPr="00C60ED6">
        <w:t>]</w:t>
      </w:r>
      <w:r w:rsidR="00C60ED6">
        <w:t>.</w:t>
      </w:r>
    </w:p>
    <w:p w14:paraId="7D8D7A22" w14:textId="77777777" w:rsidR="00A94020" w:rsidRPr="00A94020" w:rsidRDefault="00A94020" w:rsidP="00A94020">
      <w:r w:rsidRPr="00A94020">
        <w:t xml:space="preserve">Несмотря на общие проблемы и вызовы, малые и средние города России демонстрируют примеры успешной модернизации, которые могут служить моделью для других территорий. Успех этих проектов обусловлен комплексным подходом к решению </w:t>
      </w:r>
      <w:r w:rsidRPr="00A94020">
        <w:lastRenderedPageBreak/>
        <w:t>экономических, социальных и инфраструктурных задач, а также активным вовлечением местных сообществ и инновационных технологий.</w:t>
      </w:r>
    </w:p>
    <w:p w14:paraId="37936B3B" w14:textId="77777777" w:rsidR="00A94020" w:rsidRPr="00A94020" w:rsidRDefault="00A94020" w:rsidP="00A94020">
      <w:r w:rsidRPr="00A94020">
        <w:t>Одним из ярких примеров успешной модернизации является город Гатчина в Ленинградской области. Гатчина использовала свой историко-культурный потенциал для развития туризма и привлечения инвестиций. В последние годы город активно реставрирует памятники архитектуры, развивает инфраструктуру для туристов, создавая новые культурные маршруты и места для отдыха. В рамках программы «Умный город» были внедрены цифровые технологии для улучшения городской среды, такие как умное освещение, системы видеонаблюдения и мониторинга загрязнения воздуха. Эти меры значительно повысили привлекательность Гатчины как туристической и инвестиционной зоны, при этом улучшив качество жизни для местных жителей.</w:t>
      </w:r>
    </w:p>
    <w:p w14:paraId="2D857A18" w14:textId="77777777" w:rsidR="00A94020" w:rsidRPr="00A94020" w:rsidRDefault="00A94020" w:rsidP="00A94020">
      <w:r w:rsidRPr="00A94020">
        <w:t>Другим примером является город Тверь, который с конца 2000-х годов реализует программу комплексной модернизации городской инфраструктуры. Основное внимание было уделено улучшению жилищных условий, реконструкции коммунальных систем и развитию транспортной сети. В рамках проекта были построены новые жилые комплексы, модернизированы тепловые и водоснабжающие сети, а также созданы современные общественные пространства. Тверь активно развивает малый и средний бизнес, создав в городе несколько бизнес-инкубаторов и центров для стартапов, что способствовало росту предпринимательской активности.</w:t>
      </w:r>
    </w:p>
    <w:p w14:paraId="30061233" w14:textId="77777777" w:rsidR="00A94020" w:rsidRPr="00A94020" w:rsidRDefault="00A94020" w:rsidP="00A94020">
      <w:r w:rsidRPr="00A94020">
        <w:t>Город Белгород также представляет собой успешный пример модернизации на базе инновационных технологий. В последние годы Белгород активно внедряет проекты в рамках концепции «умного города», используя передовые технологии для улучшения транспортной системы, ЖКХ и системы безопасности. В результате были реализованы проекты по улучшению городской среды с использованием датчиков для мониторинга состояния дорог и общественных пространств, а также модернизированы образовательные учреждения с внедрением цифровых образовательных технологий. Одним из наиболее ярких проектов стал проект по развитию экопарков и зелёных зон, что сделало город более экологически устойчивым и удобным для жизни.</w:t>
      </w:r>
    </w:p>
    <w:p w14:paraId="19351C7F" w14:textId="77777777" w:rsidR="00A94020" w:rsidRPr="00A94020" w:rsidRDefault="00A94020" w:rsidP="00A94020">
      <w:r w:rsidRPr="00A94020">
        <w:t>Эти примеры демонстрируют, что малые и средние города России способны успешно справляться с вызовами современности и эффективно реализовывать проекты модернизации, если они ориентируются на свои уникальные ресурсы — исторические, культурные, природные или экономические. Каждый из этих городов привлек внимание как местных жителей, так и инвесторов благодаря комплексному подходу к решению проблем, что даёт возможность эффективно развивать территорию и создавать благоприятные условия для жизни и работы.</w:t>
      </w:r>
    </w:p>
    <w:p w14:paraId="3422ED72" w14:textId="77777777" w:rsidR="00A94020" w:rsidRPr="00A94020" w:rsidRDefault="00A94020" w:rsidP="00A94020">
      <w:r w:rsidRPr="00A94020">
        <w:t>Малые и средние города России играют ключевую роль в территориальной структуре страны и имеют значительный потенциал для устойчивого развития. Модернизация таких городов требует комплексного подхода, включающего диверсификацию экономики, улучшение инфраструктуры, развитие человеческого капитала и укрепление местного самоуправления. Особое внимание стоит уделить поддержке малого и среднего бизнеса, модернизации образовательных и медицинских учреждений, а также сохранению культурного наследия.</w:t>
      </w:r>
    </w:p>
    <w:p w14:paraId="1CA1431B" w14:textId="5D1BD56E" w:rsidR="00A22C01" w:rsidRDefault="00A94020" w:rsidP="00A94020">
      <w:r w:rsidRPr="00A94020">
        <w:t>При грамотном подходе малые и средние города могут стать точками роста и примером для других территорий, создавая условия для сбалансированного развития всей страны. Успешные примеры таких городов уже демонстрируют, что модернизация возможна даже с ограниченными ресурсами, если правильно использовать локальные особенности и инициативу местных сообществ</w:t>
      </w:r>
      <w:r>
        <w:t>.</w:t>
      </w:r>
    </w:p>
    <w:p w14:paraId="73666055" w14:textId="77777777" w:rsidR="0062209F" w:rsidRDefault="0062209F" w:rsidP="00A94020"/>
    <w:p w14:paraId="3F9E5A3A" w14:textId="38F83963" w:rsidR="0062209F" w:rsidRDefault="0062209F" w:rsidP="00C53B1C">
      <w:pPr>
        <w:jc w:val="center"/>
        <w:rPr>
          <w:b/>
          <w:bCs/>
        </w:rPr>
      </w:pPr>
      <w:r w:rsidRPr="0062209F">
        <w:rPr>
          <w:b/>
          <w:bCs/>
        </w:rPr>
        <w:t>Библиографический список</w:t>
      </w:r>
      <w:r>
        <w:rPr>
          <w:b/>
          <w:bCs/>
        </w:rPr>
        <w:t xml:space="preserve"> на русском языке</w:t>
      </w:r>
    </w:p>
    <w:p w14:paraId="14829E83" w14:textId="77777777" w:rsidR="00807BE5" w:rsidRDefault="00807BE5" w:rsidP="00807BE5">
      <w:pPr>
        <w:pStyle w:val="a7"/>
        <w:numPr>
          <w:ilvl w:val="0"/>
          <w:numId w:val="1"/>
        </w:numPr>
        <w:ind w:left="-567" w:firstLine="709"/>
      </w:pPr>
      <w:r>
        <w:t xml:space="preserve">Малые города России: новые вызовы, социальные проблемы и перспективы. М.: ФНИСЦ РАН, 2021. 598 с. </w:t>
      </w:r>
    </w:p>
    <w:p w14:paraId="7207C494" w14:textId="77777777" w:rsidR="00807BE5" w:rsidRDefault="00807BE5" w:rsidP="00807BE5">
      <w:pPr>
        <w:pStyle w:val="a7"/>
        <w:numPr>
          <w:ilvl w:val="0"/>
          <w:numId w:val="1"/>
        </w:numPr>
        <w:ind w:left="-567" w:firstLine="709"/>
      </w:pPr>
      <w:proofErr w:type="spellStart"/>
      <w:r w:rsidRPr="003579BB">
        <w:lastRenderedPageBreak/>
        <w:t>Назриева</w:t>
      </w:r>
      <w:proofErr w:type="spellEnd"/>
      <w:r w:rsidRPr="003579BB">
        <w:t xml:space="preserve"> М. В. </w:t>
      </w:r>
      <w:r w:rsidRPr="003579BB">
        <w:t xml:space="preserve">Проблемы развития малых городов России </w:t>
      </w:r>
      <w:r w:rsidRPr="003579BB">
        <w:t xml:space="preserve">// Экономика и социум. 2012. №2 (2). URL: https://cyberleninka.ru/article/n/problemy-razvitiya-malyh-gorodov-rossii (дата обращения: </w:t>
      </w:r>
      <w:r>
        <w:t>09</w:t>
      </w:r>
      <w:r w:rsidRPr="003579BB">
        <w:t>.05.2025).</w:t>
      </w:r>
    </w:p>
    <w:p w14:paraId="2F0D5C6D" w14:textId="77777777" w:rsidR="00807BE5" w:rsidRDefault="00807BE5" w:rsidP="00807BE5">
      <w:pPr>
        <w:pStyle w:val="a7"/>
        <w:numPr>
          <w:ilvl w:val="0"/>
          <w:numId w:val="1"/>
        </w:numPr>
        <w:ind w:left="-567" w:firstLine="709"/>
      </w:pPr>
      <w:r w:rsidRPr="0062209F">
        <w:t xml:space="preserve">Попов </w:t>
      </w:r>
      <w:proofErr w:type="gramStart"/>
      <w:r w:rsidRPr="0062209F">
        <w:t>А.В.</w:t>
      </w:r>
      <w:proofErr w:type="gramEnd"/>
      <w:r w:rsidRPr="0062209F">
        <w:t xml:space="preserve">, Гнатюк </w:t>
      </w:r>
      <w:proofErr w:type="gramStart"/>
      <w:r w:rsidRPr="0062209F">
        <w:t>М.А.</w:t>
      </w:r>
      <w:proofErr w:type="gramEnd"/>
      <w:r w:rsidRPr="0062209F">
        <w:t xml:space="preserve"> Стратегии инновационного развития малых городов России: специфика проблем и ресурсный потенциал // Гуманитарий Юга России. 2017. № 2.</w:t>
      </w:r>
    </w:p>
    <w:p w14:paraId="2E9F8269" w14:textId="77777777" w:rsidR="00807BE5" w:rsidRDefault="00807BE5" w:rsidP="00807BE5">
      <w:pPr>
        <w:pStyle w:val="a7"/>
        <w:numPr>
          <w:ilvl w:val="0"/>
          <w:numId w:val="1"/>
        </w:numPr>
        <w:ind w:left="-567" w:firstLine="709"/>
      </w:pPr>
      <w:r w:rsidRPr="00DE6D0C">
        <w:t>Рябова Э. Г. Российские города сегодня: проблемы, пути выхода из кризиса и перспективы устойчивого развития // Стратегия устойчивого развития регионов России. 2015. №25. URL: https://cyberleninka.ru/article/n/rossiyskie-goroda-segodnya-problemy-puti-vyhoda-iz-krizisa-i-perspektivy-ustoychivogo-razvitiya (дата обращения: 1</w:t>
      </w:r>
      <w:r>
        <w:t>1</w:t>
      </w:r>
      <w:r w:rsidRPr="00DE6D0C">
        <w:t>.05.2025).</w:t>
      </w:r>
    </w:p>
    <w:p w14:paraId="32BDA5EF" w14:textId="48E94C0D" w:rsidR="00DE6D0C" w:rsidRDefault="00807BE5" w:rsidP="00807BE5">
      <w:pPr>
        <w:pStyle w:val="a7"/>
        <w:numPr>
          <w:ilvl w:val="0"/>
          <w:numId w:val="1"/>
        </w:numPr>
        <w:ind w:left="-567" w:firstLine="709"/>
      </w:pPr>
      <w:r w:rsidRPr="00DE6D0C">
        <w:t xml:space="preserve">Федосеева, А. Э. Проблемы и перспективы развития малых городов России / А. Э. Федосеева. — </w:t>
      </w:r>
      <w:proofErr w:type="gramStart"/>
      <w:r w:rsidRPr="00DE6D0C">
        <w:t>Текст :</w:t>
      </w:r>
      <w:proofErr w:type="gramEnd"/>
      <w:r w:rsidRPr="00DE6D0C">
        <w:t xml:space="preserve"> непосредственный // Молодой ученый. — 2024. — № 3 (502). — С. </w:t>
      </w:r>
      <w:proofErr w:type="gramStart"/>
      <w:r w:rsidRPr="00DE6D0C">
        <w:t>248-250</w:t>
      </w:r>
      <w:proofErr w:type="gramEnd"/>
      <w:r w:rsidRPr="00DE6D0C">
        <w:t>. — URL: https://moluch.ru/archive/502/110412/ (дата обращения: 12.05.2025).</w:t>
      </w:r>
      <w:r w:rsidR="00DE6D0C" w:rsidRPr="00DE6D0C">
        <w:br/>
      </w:r>
    </w:p>
    <w:p w14:paraId="292C517A" w14:textId="5E2951EA" w:rsidR="00C60ED6" w:rsidRDefault="00C60ED6" w:rsidP="00C53B1C">
      <w:pPr>
        <w:ind w:left="0" w:firstLine="142"/>
        <w:jc w:val="center"/>
        <w:rPr>
          <w:b/>
          <w:bCs/>
        </w:rPr>
      </w:pPr>
      <w:r w:rsidRPr="00C60ED6">
        <w:rPr>
          <w:b/>
          <w:bCs/>
        </w:rPr>
        <w:t>Информация об авторе (-ах) на русском языке</w:t>
      </w:r>
    </w:p>
    <w:p w14:paraId="4755E10A" w14:textId="5F3DF9BD" w:rsidR="00C60ED6" w:rsidRDefault="00C60ED6" w:rsidP="00C53B1C">
      <w:pPr>
        <w:ind w:right="284"/>
      </w:pPr>
      <w:r>
        <w:t xml:space="preserve">Соболева Виктория Сергеевна (Россия, Курск) </w:t>
      </w:r>
      <w:r w:rsidRPr="00C60ED6">
        <w:t>–</w:t>
      </w:r>
      <w:r>
        <w:t xml:space="preserve"> </w:t>
      </w:r>
      <w:r w:rsidRPr="00C60ED6">
        <w:t>студент факультета Философии и социологии</w:t>
      </w:r>
      <w:r w:rsidR="00C53B1C">
        <w:t xml:space="preserve">, Курский Государственный Университет (г. Курск, Россия, </w:t>
      </w:r>
      <w:hyperlink r:id="rId8" w:history="1">
        <w:r w:rsidR="00C53B1C" w:rsidRPr="009F08E5">
          <w:rPr>
            <w:rStyle w:val="af0"/>
            <w:lang w:val="en-US"/>
          </w:rPr>
          <w:t>viktoriasobol</w:t>
        </w:r>
        <w:r w:rsidR="00C53B1C" w:rsidRPr="009F08E5">
          <w:rPr>
            <w:rStyle w:val="af0"/>
          </w:rPr>
          <w:t>1011@</w:t>
        </w:r>
        <w:r w:rsidR="00C53B1C" w:rsidRPr="009F08E5">
          <w:rPr>
            <w:rStyle w:val="af0"/>
            <w:lang w:val="en-US"/>
          </w:rPr>
          <w:t>gmail</w:t>
        </w:r>
        <w:r w:rsidR="00C53B1C" w:rsidRPr="009F08E5">
          <w:rPr>
            <w:rStyle w:val="af0"/>
          </w:rPr>
          <w:t>.</w:t>
        </w:r>
        <w:r w:rsidR="00C53B1C" w:rsidRPr="009F08E5">
          <w:rPr>
            <w:rStyle w:val="af0"/>
            <w:lang w:val="en-US"/>
          </w:rPr>
          <w:t>com</w:t>
        </w:r>
      </w:hyperlink>
      <w:r w:rsidR="00C53B1C">
        <w:t>).</w:t>
      </w:r>
    </w:p>
    <w:p w14:paraId="765D03D8" w14:textId="77777777" w:rsidR="00C53B1C" w:rsidRDefault="00C53B1C" w:rsidP="00C53B1C">
      <w:pPr>
        <w:ind w:right="284"/>
      </w:pPr>
    </w:p>
    <w:p w14:paraId="2A8D3CD1" w14:textId="77777777" w:rsidR="00C53B1C" w:rsidRPr="00C53B1C" w:rsidRDefault="00C53B1C" w:rsidP="00C53B1C">
      <w:pPr>
        <w:ind w:right="284"/>
        <w:jc w:val="right"/>
        <w:rPr>
          <w:b/>
          <w:bCs/>
          <w:lang w:val="en-US"/>
        </w:rPr>
      </w:pPr>
      <w:r w:rsidRPr="00C53B1C">
        <w:rPr>
          <w:b/>
          <w:bCs/>
          <w:lang w:val="en-US"/>
        </w:rPr>
        <w:t>Soboleva V.S.</w:t>
      </w:r>
    </w:p>
    <w:p w14:paraId="0762DE71" w14:textId="77777777" w:rsidR="00C53B1C" w:rsidRPr="00C53B1C" w:rsidRDefault="00C53B1C" w:rsidP="00C53B1C">
      <w:pPr>
        <w:ind w:right="284"/>
        <w:jc w:val="center"/>
        <w:rPr>
          <w:lang w:val="en-US"/>
        </w:rPr>
      </w:pPr>
      <w:r w:rsidRPr="00C53B1C">
        <w:rPr>
          <w:b/>
          <w:bCs/>
          <w:lang w:val="en-US"/>
        </w:rPr>
        <w:t>SMALL AND MEDIUM-SIZED CITIES OF RUSSIA: TO FIND WAYS TO MODERNIZE</w:t>
      </w:r>
    </w:p>
    <w:p w14:paraId="76FC5796" w14:textId="77777777" w:rsidR="00C53B1C" w:rsidRPr="00C53B1C" w:rsidRDefault="00C53B1C" w:rsidP="00C53B1C">
      <w:pPr>
        <w:ind w:right="284"/>
        <w:rPr>
          <w:lang w:val="en-US"/>
        </w:rPr>
      </w:pPr>
    </w:p>
    <w:p w14:paraId="49B8FAB8" w14:textId="646958F8" w:rsidR="00C53B1C" w:rsidRPr="00C53B1C" w:rsidRDefault="00C53B1C" w:rsidP="00C53B1C">
      <w:pPr>
        <w:ind w:right="284"/>
        <w:rPr>
          <w:lang w:val="en-US"/>
        </w:rPr>
      </w:pPr>
      <w:r w:rsidRPr="00C53B1C">
        <w:rPr>
          <w:lang w:val="en-US"/>
        </w:rPr>
        <w:t xml:space="preserve">Small and medium-sized cities in Russia play a key role in regional </w:t>
      </w:r>
      <w:r w:rsidRPr="00C53B1C">
        <w:rPr>
          <w:lang w:val="en-US"/>
        </w:rPr>
        <w:t>development but</w:t>
      </w:r>
      <w:r w:rsidRPr="00C53B1C">
        <w:rPr>
          <w:lang w:val="en-US"/>
        </w:rPr>
        <w:t xml:space="preserve"> face </w:t>
      </w:r>
      <w:proofErr w:type="gramStart"/>
      <w:r w:rsidRPr="00C53B1C">
        <w:rPr>
          <w:lang w:val="en-US"/>
        </w:rPr>
        <w:t>a number of</w:t>
      </w:r>
      <w:proofErr w:type="gramEnd"/>
      <w:r w:rsidRPr="00C53B1C">
        <w:rPr>
          <w:lang w:val="en-US"/>
        </w:rPr>
        <w:t xml:space="preserve"> challenges. The article examines the main challenges facing them and possible ways of modernization to improve the quality of life and sustainable growth.</w:t>
      </w:r>
    </w:p>
    <w:p w14:paraId="2E12CEFC" w14:textId="58774DF8" w:rsidR="00C53B1C" w:rsidRDefault="00C53B1C" w:rsidP="00C53B1C">
      <w:pPr>
        <w:ind w:right="284"/>
      </w:pPr>
      <w:r w:rsidRPr="00C53B1C">
        <w:rPr>
          <w:lang w:val="en-US"/>
        </w:rPr>
        <w:t>Keywords: modernization, small and medium-sized cities, economic development, infrastructure, cultural heritage, local government.</w:t>
      </w:r>
    </w:p>
    <w:p w14:paraId="1DAEF698" w14:textId="77777777" w:rsidR="00C53B1C" w:rsidRDefault="00C53B1C" w:rsidP="00C53B1C">
      <w:pPr>
        <w:ind w:right="284"/>
      </w:pPr>
    </w:p>
    <w:p w14:paraId="11DF867D" w14:textId="77777777" w:rsidR="00C53B1C" w:rsidRPr="00C53B1C" w:rsidRDefault="00C53B1C" w:rsidP="00C53B1C">
      <w:pPr>
        <w:ind w:right="284"/>
        <w:jc w:val="center"/>
        <w:rPr>
          <w:b/>
          <w:bCs/>
          <w:lang w:val="en-US"/>
        </w:rPr>
      </w:pPr>
      <w:r w:rsidRPr="00C53B1C">
        <w:rPr>
          <w:b/>
          <w:bCs/>
          <w:lang w:val="en-US"/>
        </w:rPr>
        <w:t>Information about the author(s) in Russian</w:t>
      </w:r>
    </w:p>
    <w:p w14:paraId="441D5D0B" w14:textId="47371159" w:rsidR="00C53B1C" w:rsidRDefault="00C53B1C" w:rsidP="00C53B1C">
      <w:pPr>
        <w:ind w:right="284"/>
      </w:pPr>
      <w:r w:rsidRPr="00C53B1C">
        <w:rPr>
          <w:lang w:val="en-US"/>
        </w:rPr>
        <w:t xml:space="preserve">Soboleva Victoria Sergeevna (Russia, Kursk) – student of the Faculty of Philosophy and Sociology, Kursk State University (Kursk, Russia, </w:t>
      </w:r>
      <w:proofErr w:type="gramStart"/>
      <w:r w:rsidRPr="00C53B1C">
        <w:rPr>
          <w:lang w:val="en-US"/>
        </w:rPr>
        <w:t>viktoriasobol1011@gmail.com )</w:t>
      </w:r>
      <w:proofErr w:type="gramEnd"/>
      <w:r w:rsidRPr="00C53B1C">
        <w:rPr>
          <w:lang w:val="en-US"/>
        </w:rPr>
        <w:t>.</w:t>
      </w:r>
    </w:p>
    <w:p w14:paraId="1992C3DE" w14:textId="77777777" w:rsidR="00C53B1C" w:rsidRDefault="00C53B1C" w:rsidP="00C53B1C">
      <w:pPr>
        <w:ind w:right="284"/>
      </w:pPr>
    </w:p>
    <w:p w14:paraId="4FFF213C" w14:textId="6E65C9AE" w:rsidR="00C53B1C" w:rsidRPr="00C53B1C" w:rsidRDefault="00C53B1C" w:rsidP="00C53B1C">
      <w:pPr>
        <w:ind w:right="284"/>
        <w:jc w:val="center"/>
        <w:rPr>
          <w:b/>
          <w:bCs/>
          <w:lang w:val="en-US"/>
        </w:rPr>
      </w:pPr>
      <w:r w:rsidRPr="00C53B1C">
        <w:rPr>
          <w:b/>
          <w:bCs/>
          <w:lang w:val="en-US"/>
        </w:rPr>
        <w:t xml:space="preserve">Bibliographic list in </w:t>
      </w:r>
      <w:r w:rsidRPr="00C53B1C">
        <w:rPr>
          <w:b/>
          <w:bCs/>
          <w:lang w:val="en-US"/>
        </w:rPr>
        <w:t>English</w:t>
      </w:r>
    </w:p>
    <w:p w14:paraId="09AAD46A" w14:textId="77777777" w:rsidR="00C53B1C" w:rsidRPr="00C53B1C" w:rsidRDefault="00C53B1C" w:rsidP="00C53B1C">
      <w:pPr>
        <w:ind w:right="284"/>
        <w:rPr>
          <w:lang w:val="en-US"/>
        </w:rPr>
      </w:pPr>
      <w:r w:rsidRPr="00C53B1C">
        <w:rPr>
          <w:lang w:val="en-US"/>
        </w:rPr>
        <w:t xml:space="preserve">1. Small towns in Russia: new challenges, social problems and prospects. Moscow: FNSC RAS, 2021. 598 p. </w:t>
      </w:r>
    </w:p>
    <w:p w14:paraId="79A3A345" w14:textId="77777777" w:rsidR="00C53B1C" w:rsidRPr="00C53B1C" w:rsidRDefault="00C53B1C" w:rsidP="00C53B1C">
      <w:pPr>
        <w:ind w:right="284"/>
        <w:rPr>
          <w:lang w:val="en-US"/>
        </w:rPr>
      </w:pPr>
      <w:r w:rsidRPr="00C53B1C">
        <w:rPr>
          <w:lang w:val="en-US"/>
        </w:rPr>
        <w:t xml:space="preserve">2. </w:t>
      </w:r>
      <w:proofErr w:type="spellStart"/>
      <w:r w:rsidRPr="00C53B1C">
        <w:rPr>
          <w:lang w:val="en-US"/>
        </w:rPr>
        <w:t>Nazrieva</w:t>
      </w:r>
      <w:proofErr w:type="spellEnd"/>
      <w:r w:rsidRPr="00C53B1C">
        <w:rPr>
          <w:lang w:val="en-US"/>
        </w:rPr>
        <w:t xml:space="preserve"> M. V. Problems of development of small towns in Russia // Economics and society. 2012. No. 2 (2). URL: https://cyberleninka.ru/article/n/problemy-razvitiya-malyh-gorodov-rossii (date of reference: 05/09/2025).</w:t>
      </w:r>
    </w:p>
    <w:p w14:paraId="15BB9A2F" w14:textId="77777777" w:rsidR="00C53B1C" w:rsidRPr="00C53B1C" w:rsidRDefault="00C53B1C" w:rsidP="00C53B1C">
      <w:pPr>
        <w:ind w:right="284"/>
        <w:rPr>
          <w:lang w:val="en-US"/>
        </w:rPr>
      </w:pPr>
      <w:r w:rsidRPr="00C53B1C">
        <w:rPr>
          <w:lang w:val="en-US"/>
        </w:rPr>
        <w:t xml:space="preserve">3. Popov A.V., </w:t>
      </w:r>
      <w:proofErr w:type="spellStart"/>
      <w:r w:rsidRPr="00C53B1C">
        <w:rPr>
          <w:lang w:val="en-US"/>
        </w:rPr>
        <w:t>Gnatyuk</w:t>
      </w:r>
      <w:proofErr w:type="spellEnd"/>
      <w:r w:rsidRPr="00C53B1C">
        <w:rPr>
          <w:lang w:val="en-US"/>
        </w:rPr>
        <w:t xml:space="preserve"> M.A. Strategies of innovative development of small towns in Russia: specifics of problems and resource potential // Humanities of the South of Russia. 2017. № 2.</w:t>
      </w:r>
    </w:p>
    <w:p w14:paraId="5916CA53" w14:textId="77777777" w:rsidR="00C53B1C" w:rsidRPr="00C53B1C" w:rsidRDefault="00C53B1C" w:rsidP="00C53B1C">
      <w:pPr>
        <w:ind w:right="284"/>
        <w:rPr>
          <w:lang w:val="en-US"/>
        </w:rPr>
      </w:pPr>
      <w:r w:rsidRPr="00C53B1C">
        <w:rPr>
          <w:lang w:val="en-US"/>
        </w:rPr>
        <w:t>4. Ryabova E. G. Russian cities today: problems, ways out of the crisis and prospects for sustainable development // The strategy of sustainable development of Russian regions. 2015. No.25. URL: https://cyberleninka.ru/article/n/rossiyskie-goroda-segodnya-problemy-puti-vyhoda-iz-krizisa-i-perspektivy-ustoychivogo-razvitiya (date of reference</w:t>
      </w:r>
      <w:proofErr w:type="gramStart"/>
      <w:r w:rsidRPr="00C53B1C">
        <w:rPr>
          <w:lang w:val="en-US"/>
        </w:rPr>
        <w:t>: 05/11/2025).</w:t>
      </w:r>
      <w:proofErr w:type="gramEnd"/>
    </w:p>
    <w:p w14:paraId="3AFD16D2" w14:textId="5A5CB668" w:rsidR="00C53B1C" w:rsidRPr="00C53B1C" w:rsidRDefault="00C53B1C" w:rsidP="00C53B1C">
      <w:pPr>
        <w:ind w:right="284"/>
        <w:rPr>
          <w:lang w:val="en-US"/>
        </w:rPr>
      </w:pPr>
      <w:r w:rsidRPr="00C53B1C">
        <w:rPr>
          <w:lang w:val="en-US"/>
        </w:rPr>
        <w:t xml:space="preserve">5. Fedoseeva, A. E. Problems and prospects of development of small towns in Russia / A. E. Fedoseeva. — </w:t>
      </w:r>
      <w:proofErr w:type="gramStart"/>
      <w:r w:rsidRPr="00C53B1C">
        <w:rPr>
          <w:lang w:val="en-US"/>
        </w:rPr>
        <w:t>Text :</w:t>
      </w:r>
      <w:proofErr w:type="gramEnd"/>
      <w:r w:rsidRPr="00C53B1C">
        <w:rPr>
          <w:lang w:val="en-US"/>
        </w:rPr>
        <w:t xml:space="preserve"> direct // Young scientist. — 2024. — № 3 (5</w:t>
      </w:r>
    </w:p>
    <w:sectPr w:rsidR="00C53B1C" w:rsidRPr="00C53B1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E5772E" w14:textId="77777777" w:rsidR="00485C81" w:rsidRDefault="00485C81" w:rsidP="00A33F93">
      <w:r>
        <w:separator/>
      </w:r>
    </w:p>
  </w:endnote>
  <w:endnote w:type="continuationSeparator" w:id="0">
    <w:p w14:paraId="61B6C1E7" w14:textId="77777777" w:rsidR="00485C81" w:rsidRDefault="00485C81" w:rsidP="00A33F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85DB03" w14:textId="77777777" w:rsidR="00485C81" w:rsidRDefault="00485C81" w:rsidP="00A33F93">
      <w:r>
        <w:separator/>
      </w:r>
    </w:p>
  </w:footnote>
  <w:footnote w:type="continuationSeparator" w:id="0">
    <w:p w14:paraId="3A88B400" w14:textId="77777777" w:rsidR="00485C81" w:rsidRDefault="00485C81" w:rsidP="00A33F93">
      <w:r>
        <w:continuationSeparator/>
      </w:r>
    </w:p>
  </w:footnote>
  <w:footnote w:id="1">
    <w:p w14:paraId="5E691EB6" w14:textId="74EB38A1" w:rsidR="00A33F93" w:rsidRDefault="00A33F93">
      <w:pPr>
        <w:pStyle w:val="ad"/>
      </w:pPr>
      <w:r>
        <w:rPr>
          <w:rStyle w:val="af"/>
        </w:rPr>
        <w:footnoteRef/>
      </w:r>
      <w:r>
        <w:t xml:space="preserve"> </w:t>
      </w:r>
      <w:r w:rsidRPr="00A33F93">
        <w:t xml:space="preserve">Леденёва, М. В. Проблема оттока молодежи из регионов России в крупнейшие центры притяжения и пути ее решения / М. В. Леденёва, Л. В. Шамрай-Курбатова, А. Н. Столярова // Креативная экономика. – 2023. – Т. 17, № 10. – С. </w:t>
      </w:r>
      <w:proofErr w:type="gramStart"/>
      <w:r w:rsidRPr="00A33F93">
        <w:t>3613-3628</w:t>
      </w:r>
      <w:proofErr w:type="gramEnd"/>
      <w:r w:rsidRPr="00A33F93">
        <w:t>. – DOI 10.18334/ce.17.10.119241</w:t>
      </w:r>
    </w:p>
  </w:footnote>
  <w:footnote w:id="2">
    <w:p w14:paraId="46AF9D96" w14:textId="77777777" w:rsidR="00A33F93" w:rsidRDefault="00A33F93" w:rsidP="00A33F93">
      <w:pPr>
        <w:pStyle w:val="ad"/>
      </w:pPr>
      <w:r>
        <w:rPr>
          <w:rStyle w:val="af"/>
        </w:rPr>
        <w:footnoteRef/>
      </w:r>
      <w:r>
        <w:t xml:space="preserve"> </w:t>
      </w:r>
      <w:r w:rsidRPr="00A33F93">
        <w:t xml:space="preserve">Леденёва, М. В. Проблема оттока молодежи из регионов России в крупнейшие центры притяжения и пути ее решения / М. В. Леденёва, Л. В. Шамрай-Курбатова, А. Н. Столярова // Креативная экономика. – 2023. – Т. 17, № 10. – С. </w:t>
      </w:r>
      <w:proofErr w:type="gramStart"/>
      <w:r w:rsidRPr="00A33F93">
        <w:t>3613-3628</w:t>
      </w:r>
      <w:proofErr w:type="gramEnd"/>
      <w:r w:rsidRPr="00A33F93">
        <w:t>. – DOI 10.18334/ce.17.10.119241</w:t>
      </w:r>
    </w:p>
    <w:p w14:paraId="3DB15D3B" w14:textId="5A3D4BCC" w:rsidR="00A33F93" w:rsidRDefault="00A33F93">
      <w:pPr>
        <w:pStyle w:val="ad"/>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842913"/>
    <w:multiLevelType w:val="hybridMultilevel"/>
    <w:tmpl w:val="CE0C20FC"/>
    <w:lvl w:ilvl="0" w:tplc="D03C4DF0">
      <w:start w:val="1"/>
      <w:numFmt w:val="decimal"/>
      <w:lvlText w:val="%1."/>
      <w:lvlJc w:val="left"/>
      <w:pPr>
        <w:ind w:left="57" w:firstLine="652"/>
      </w:pPr>
      <w:rPr>
        <w:rFonts w:hint="default"/>
      </w:r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num w:numId="1" w16cid:durableId="2925590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71EE"/>
    <w:rsid w:val="003579BB"/>
    <w:rsid w:val="00485C81"/>
    <w:rsid w:val="0062209F"/>
    <w:rsid w:val="007B1C35"/>
    <w:rsid w:val="00807BE5"/>
    <w:rsid w:val="00A22C01"/>
    <w:rsid w:val="00A33F93"/>
    <w:rsid w:val="00A94020"/>
    <w:rsid w:val="00B171EE"/>
    <w:rsid w:val="00B42637"/>
    <w:rsid w:val="00BE3BAC"/>
    <w:rsid w:val="00C53B1C"/>
    <w:rsid w:val="00C60ED6"/>
    <w:rsid w:val="00DE6D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08922"/>
  <w15:chartTrackingRefBased/>
  <w15:docId w15:val="{05A06754-0D1A-4D9E-BC3B-9F8D8391A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2C01"/>
    <w:pPr>
      <w:spacing w:after="0" w:line="240" w:lineRule="auto"/>
      <w:ind w:left="-567" w:right="283" w:firstLine="709"/>
      <w:jc w:val="both"/>
    </w:pPr>
    <w:rPr>
      <w:rFonts w:ascii="Times New Roman" w:hAnsi="Times New Roman" w:cs="Times New Roman"/>
    </w:rPr>
  </w:style>
  <w:style w:type="paragraph" w:styleId="1">
    <w:name w:val="heading 1"/>
    <w:basedOn w:val="a"/>
    <w:next w:val="a"/>
    <w:link w:val="10"/>
    <w:uiPriority w:val="9"/>
    <w:qFormat/>
    <w:rsid w:val="00B171E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171E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171E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171E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171E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171EE"/>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171EE"/>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171EE"/>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171EE"/>
    <w:pPr>
      <w:keepNext/>
      <w:keepLines/>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171EE"/>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B171EE"/>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B171EE"/>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B171EE"/>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B171EE"/>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B171E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171EE"/>
    <w:rPr>
      <w:rFonts w:eastAsiaTheme="majorEastAsia" w:cstheme="majorBidi"/>
      <w:color w:val="595959" w:themeColor="text1" w:themeTint="A6"/>
    </w:rPr>
  </w:style>
  <w:style w:type="character" w:customStyle="1" w:styleId="80">
    <w:name w:val="Заголовок 8 Знак"/>
    <w:basedOn w:val="a0"/>
    <w:link w:val="8"/>
    <w:uiPriority w:val="9"/>
    <w:semiHidden/>
    <w:rsid w:val="00B171E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171EE"/>
    <w:rPr>
      <w:rFonts w:eastAsiaTheme="majorEastAsia" w:cstheme="majorBidi"/>
      <w:color w:val="272727" w:themeColor="text1" w:themeTint="D8"/>
    </w:rPr>
  </w:style>
  <w:style w:type="paragraph" w:styleId="a3">
    <w:name w:val="Title"/>
    <w:basedOn w:val="a"/>
    <w:next w:val="a"/>
    <w:link w:val="a4"/>
    <w:uiPriority w:val="10"/>
    <w:qFormat/>
    <w:rsid w:val="00B171EE"/>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B171E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171E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171E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171EE"/>
    <w:pPr>
      <w:spacing w:before="160"/>
      <w:jc w:val="center"/>
    </w:pPr>
    <w:rPr>
      <w:i/>
      <w:iCs/>
      <w:color w:val="404040" w:themeColor="text1" w:themeTint="BF"/>
    </w:rPr>
  </w:style>
  <w:style w:type="character" w:customStyle="1" w:styleId="22">
    <w:name w:val="Цитата 2 Знак"/>
    <w:basedOn w:val="a0"/>
    <w:link w:val="21"/>
    <w:uiPriority w:val="29"/>
    <w:rsid w:val="00B171EE"/>
    <w:rPr>
      <w:i/>
      <w:iCs/>
      <w:color w:val="404040" w:themeColor="text1" w:themeTint="BF"/>
    </w:rPr>
  </w:style>
  <w:style w:type="paragraph" w:styleId="a7">
    <w:name w:val="List Paragraph"/>
    <w:basedOn w:val="a"/>
    <w:uiPriority w:val="34"/>
    <w:qFormat/>
    <w:rsid w:val="00B171EE"/>
    <w:pPr>
      <w:ind w:left="720"/>
      <w:contextualSpacing/>
    </w:pPr>
  </w:style>
  <w:style w:type="character" w:styleId="a8">
    <w:name w:val="Intense Emphasis"/>
    <w:basedOn w:val="a0"/>
    <w:uiPriority w:val="21"/>
    <w:qFormat/>
    <w:rsid w:val="00B171EE"/>
    <w:rPr>
      <w:i/>
      <w:iCs/>
      <w:color w:val="0F4761" w:themeColor="accent1" w:themeShade="BF"/>
    </w:rPr>
  </w:style>
  <w:style w:type="paragraph" w:styleId="a9">
    <w:name w:val="Intense Quote"/>
    <w:basedOn w:val="a"/>
    <w:next w:val="a"/>
    <w:link w:val="aa"/>
    <w:uiPriority w:val="30"/>
    <w:qFormat/>
    <w:rsid w:val="00B171E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B171EE"/>
    <w:rPr>
      <w:i/>
      <w:iCs/>
      <w:color w:val="0F4761" w:themeColor="accent1" w:themeShade="BF"/>
    </w:rPr>
  </w:style>
  <w:style w:type="character" w:styleId="ab">
    <w:name w:val="Intense Reference"/>
    <w:basedOn w:val="a0"/>
    <w:uiPriority w:val="32"/>
    <w:qFormat/>
    <w:rsid w:val="00B171EE"/>
    <w:rPr>
      <w:b/>
      <w:bCs/>
      <w:smallCaps/>
      <w:color w:val="0F4761" w:themeColor="accent1" w:themeShade="BF"/>
      <w:spacing w:val="5"/>
    </w:rPr>
  </w:style>
  <w:style w:type="paragraph" w:styleId="ac">
    <w:name w:val="Normal (Web)"/>
    <w:basedOn w:val="a"/>
    <w:uiPriority w:val="99"/>
    <w:semiHidden/>
    <w:unhideWhenUsed/>
    <w:rsid w:val="00B42637"/>
  </w:style>
  <w:style w:type="paragraph" w:styleId="ad">
    <w:name w:val="footnote text"/>
    <w:basedOn w:val="a"/>
    <w:link w:val="ae"/>
    <w:uiPriority w:val="99"/>
    <w:semiHidden/>
    <w:unhideWhenUsed/>
    <w:rsid w:val="00A33F93"/>
    <w:rPr>
      <w:sz w:val="20"/>
      <w:szCs w:val="20"/>
    </w:rPr>
  </w:style>
  <w:style w:type="character" w:customStyle="1" w:styleId="ae">
    <w:name w:val="Текст сноски Знак"/>
    <w:basedOn w:val="a0"/>
    <w:link w:val="ad"/>
    <w:uiPriority w:val="99"/>
    <w:semiHidden/>
    <w:rsid w:val="00A33F93"/>
    <w:rPr>
      <w:rFonts w:ascii="Times New Roman" w:hAnsi="Times New Roman" w:cs="Times New Roman"/>
      <w:sz w:val="20"/>
      <w:szCs w:val="20"/>
    </w:rPr>
  </w:style>
  <w:style w:type="character" w:styleId="af">
    <w:name w:val="footnote reference"/>
    <w:basedOn w:val="a0"/>
    <w:uiPriority w:val="99"/>
    <w:semiHidden/>
    <w:unhideWhenUsed/>
    <w:rsid w:val="00A33F93"/>
    <w:rPr>
      <w:vertAlign w:val="superscript"/>
    </w:rPr>
  </w:style>
  <w:style w:type="character" w:styleId="af0">
    <w:name w:val="Hyperlink"/>
    <w:basedOn w:val="a0"/>
    <w:uiPriority w:val="99"/>
    <w:unhideWhenUsed/>
    <w:rsid w:val="00C53B1C"/>
    <w:rPr>
      <w:color w:val="467886" w:themeColor="hyperlink"/>
      <w:u w:val="single"/>
    </w:rPr>
  </w:style>
  <w:style w:type="character" w:styleId="af1">
    <w:name w:val="Unresolved Mention"/>
    <w:basedOn w:val="a0"/>
    <w:uiPriority w:val="99"/>
    <w:semiHidden/>
    <w:unhideWhenUsed/>
    <w:rsid w:val="00C53B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245133">
      <w:bodyDiv w:val="1"/>
      <w:marLeft w:val="0"/>
      <w:marRight w:val="0"/>
      <w:marTop w:val="0"/>
      <w:marBottom w:val="0"/>
      <w:divBdr>
        <w:top w:val="none" w:sz="0" w:space="0" w:color="auto"/>
        <w:left w:val="none" w:sz="0" w:space="0" w:color="auto"/>
        <w:bottom w:val="none" w:sz="0" w:space="0" w:color="auto"/>
        <w:right w:val="none" w:sz="0" w:space="0" w:color="auto"/>
      </w:divBdr>
    </w:div>
    <w:div w:id="116069954">
      <w:bodyDiv w:val="1"/>
      <w:marLeft w:val="0"/>
      <w:marRight w:val="0"/>
      <w:marTop w:val="0"/>
      <w:marBottom w:val="0"/>
      <w:divBdr>
        <w:top w:val="none" w:sz="0" w:space="0" w:color="auto"/>
        <w:left w:val="none" w:sz="0" w:space="0" w:color="auto"/>
        <w:bottom w:val="none" w:sz="0" w:space="0" w:color="auto"/>
        <w:right w:val="none" w:sz="0" w:space="0" w:color="auto"/>
      </w:divBdr>
    </w:div>
    <w:div w:id="129597099">
      <w:bodyDiv w:val="1"/>
      <w:marLeft w:val="0"/>
      <w:marRight w:val="0"/>
      <w:marTop w:val="0"/>
      <w:marBottom w:val="0"/>
      <w:divBdr>
        <w:top w:val="none" w:sz="0" w:space="0" w:color="auto"/>
        <w:left w:val="none" w:sz="0" w:space="0" w:color="auto"/>
        <w:bottom w:val="none" w:sz="0" w:space="0" w:color="auto"/>
        <w:right w:val="none" w:sz="0" w:space="0" w:color="auto"/>
      </w:divBdr>
    </w:div>
    <w:div w:id="222762856">
      <w:bodyDiv w:val="1"/>
      <w:marLeft w:val="0"/>
      <w:marRight w:val="0"/>
      <w:marTop w:val="0"/>
      <w:marBottom w:val="0"/>
      <w:divBdr>
        <w:top w:val="none" w:sz="0" w:space="0" w:color="auto"/>
        <w:left w:val="none" w:sz="0" w:space="0" w:color="auto"/>
        <w:bottom w:val="none" w:sz="0" w:space="0" w:color="auto"/>
        <w:right w:val="none" w:sz="0" w:space="0" w:color="auto"/>
      </w:divBdr>
    </w:div>
    <w:div w:id="439106215">
      <w:bodyDiv w:val="1"/>
      <w:marLeft w:val="0"/>
      <w:marRight w:val="0"/>
      <w:marTop w:val="0"/>
      <w:marBottom w:val="0"/>
      <w:divBdr>
        <w:top w:val="none" w:sz="0" w:space="0" w:color="auto"/>
        <w:left w:val="none" w:sz="0" w:space="0" w:color="auto"/>
        <w:bottom w:val="none" w:sz="0" w:space="0" w:color="auto"/>
        <w:right w:val="none" w:sz="0" w:space="0" w:color="auto"/>
      </w:divBdr>
    </w:div>
    <w:div w:id="439449048">
      <w:bodyDiv w:val="1"/>
      <w:marLeft w:val="0"/>
      <w:marRight w:val="0"/>
      <w:marTop w:val="0"/>
      <w:marBottom w:val="0"/>
      <w:divBdr>
        <w:top w:val="none" w:sz="0" w:space="0" w:color="auto"/>
        <w:left w:val="none" w:sz="0" w:space="0" w:color="auto"/>
        <w:bottom w:val="none" w:sz="0" w:space="0" w:color="auto"/>
        <w:right w:val="none" w:sz="0" w:space="0" w:color="auto"/>
      </w:divBdr>
    </w:div>
    <w:div w:id="647592558">
      <w:bodyDiv w:val="1"/>
      <w:marLeft w:val="0"/>
      <w:marRight w:val="0"/>
      <w:marTop w:val="0"/>
      <w:marBottom w:val="0"/>
      <w:divBdr>
        <w:top w:val="none" w:sz="0" w:space="0" w:color="auto"/>
        <w:left w:val="none" w:sz="0" w:space="0" w:color="auto"/>
        <w:bottom w:val="none" w:sz="0" w:space="0" w:color="auto"/>
        <w:right w:val="none" w:sz="0" w:space="0" w:color="auto"/>
      </w:divBdr>
    </w:div>
    <w:div w:id="658921046">
      <w:bodyDiv w:val="1"/>
      <w:marLeft w:val="0"/>
      <w:marRight w:val="0"/>
      <w:marTop w:val="0"/>
      <w:marBottom w:val="0"/>
      <w:divBdr>
        <w:top w:val="none" w:sz="0" w:space="0" w:color="auto"/>
        <w:left w:val="none" w:sz="0" w:space="0" w:color="auto"/>
        <w:bottom w:val="none" w:sz="0" w:space="0" w:color="auto"/>
        <w:right w:val="none" w:sz="0" w:space="0" w:color="auto"/>
      </w:divBdr>
    </w:div>
    <w:div w:id="679233766">
      <w:bodyDiv w:val="1"/>
      <w:marLeft w:val="0"/>
      <w:marRight w:val="0"/>
      <w:marTop w:val="0"/>
      <w:marBottom w:val="0"/>
      <w:divBdr>
        <w:top w:val="none" w:sz="0" w:space="0" w:color="auto"/>
        <w:left w:val="none" w:sz="0" w:space="0" w:color="auto"/>
        <w:bottom w:val="none" w:sz="0" w:space="0" w:color="auto"/>
        <w:right w:val="none" w:sz="0" w:space="0" w:color="auto"/>
      </w:divBdr>
    </w:div>
    <w:div w:id="713965783">
      <w:bodyDiv w:val="1"/>
      <w:marLeft w:val="0"/>
      <w:marRight w:val="0"/>
      <w:marTop w:val="0"/>
      <w:marBottom w:val="0"/>
      <w:divBdr>
        <w:top w:val="none" w:sz="0" w:space="0" w:color="auto"/>
        <w:left w:val="none" w:sz="0" w:space="0" w:color="auto"/>
        <w:bottom w:val="none" w:sz="0" w:space="0" w:color="auto"/>
        <w:right w:val="none" w:sz="0" w:space="0" w:color="auto"/>
      </w:divBdr>
    </w:div>
    <w:div w:id="854466378">
      <w:bodyDiv w:val="1"/>
      <w:marLeft w:val="0"/>
      <w:marRight w:val="0"/>
      <w:marTop w:val="0"/>
      <w:marBottom w:val="0"/>
      <w:divBdr>
        <w:top w:val="none" w:sz="0" w:space="0" w:color="auto"/>
        <w:left w:val="none" w:sz="0" w:space="0" w:color="auto"/>
        <w:bottom w:val="none" w:sz="0" w:space="0" w:color="auto"/>
        <w:right w:val="none" w:sz="0" w:space="0" w:color="auto"/>
      </w:divBdr>
    </w:div>
    <w:div w:id="956522919">
      <w:bodyDiv w:val="1"/>
      <w:marLeft w:val="0"/>
      <w:marRight w:val="0"/>
      <w:marTop w:val="0"/>
      <w:marBottom w:val="0"/>
      <w:divBdr>
        <w:top w:val="none" w:sz="0" w:space="0" w:color="auto"/>
        <w:left w:val="none" w:sz="0" w:space="0" w:color="auto"/>
        <w:bottom w:val="none" w:sz="0" w:space="0" w:color="auto"/>
        <w:right w:val="none" w:sz="0" w:space="0" w:color="auto"/>
      </w:divBdr>
    </w:div>
    <w:div w:id="1144857177">
      <w:bodyDiv w:val="1"/>
      <w:marLeft w:val="0"/>
      <w:marRight w:val="0"/>
      <w:marTop w:val="0"/>
      <w:marBottom w:val="0"/>
      <w:divBdr>
        <w:top w:val="none" w:sz="0" w:space="0" w:color="auto"/>
        <w:left w:val="none" w:sz="0" w:space="0" w:color="auto"/>
        <w:bottom w:val="none" w:sz="0" w:space="0" w:color="auto"/>
        <w:right w:val="none" w:sz="0" w:space="0" w:color="auto"/>
      </w:divBdr>
    </w:div>
    <w:div w:id="1203904286">
      <w:bodyDiv w:val="1"/>
      <w:marLeft w:val="0"/>
      <w:marRight w:val="0"/>
      <w:marTop w:val="0"/>
      <w:marBottom w:val="0"/>
      <w:divBdr>
        <w:top w:val="none" w:sz="0" w:space="0" w:color="auto"/>
        <w:left w:val="none" w:sz="0" w:space="0" w:color="auto"/>
        <w:bottom w:val="none" w:sz="0" w:space="0" w:color="auto"/>
        <w:right w:val="none" w:sz="0" w:space="0" w:color="auto"/>
      </w:divBdr>
    </w:div>
    <w:div w:id="1248149303">
      <w:bodyDiv w:val="1"/>
      <w:marLeft w:val="0"/>
      <w:marRight w:val="0"/>
      <w:marTop w:val="0"/>
      <w:marBottom w:val="0"/>
      <w:divBdr>
        <w:top w:val="none" w:sz="0" w:space="0" w:color="auto"/>
        <w:left w:val="none" w:sz="0" w:space="0" w:color="auto"/>
        <w:bottom w:val="none" w:sz="0" w:space="0" w:color="auto"/>
        <w:right w:val="none" w:sz="0" w:space="0" w:color="auto"/>
      </w:divBdr>
    </w:div>
    <w:div w:id="1379624876">
      <w:bodyDiv w:val="1"/>
      <w:marLeft w:val="0"/>
      <w:marRight w:val="0"/>
      <w:marTop w:val="0"/>
      <w:marBottom w:val="0"/>
      <w:divBdr>
        <w:top w:val="none" w:sz="0" w:space="0" w:color="auto"/>
        <w:left w:val="none" w:sz="0" w:space="0" w:color="auto"/>
        <w:bottom w:val="none" w:sz="0" w:space="0" w:color="auto"/>
        <w:right w:val="none" w:sz="0" w:space="0" w:color="auto"/>
      </w:divBdr>
    </w:div>
    <w:div w:id="1434473171">
      <w:bodyDiv w:val="1"/>
      <w:marLeft w:val="0"/>
      <w:marRight w:val="0"/>
      <w:marTop w:val="0"/>
      <w:marBottom w:val="0"/>
      <w:divBdr>
        <w:top w:val="none" w:sz="0" w:space="0" w:color="auto"/>
        <w:left w:val="none" w:sz="0" w:space="0" w:color="auto"/>
        <w:bottom w:val="none" w:sz="0" w:space="0" w:color="auto"/>
        <w:right w:val="none" w:sz="0" w:space="0" w:color="auto"/>
      </w:divBdr>
    </w:div>
    <w:div w:id="1595482013">
      <w:bodyDiv w:val="1"/>
      <w:marLeft w:val="0"/>
      <w:marRight w:val="0"/>
      <w:marTop w:val="0"/>
      <w:marBottom w:val="0"/>
      <w:divBdr>
        <w:top w:val="none" w:sz="0" w:space="0" w:color="auto"/>
        <w:left w:val="none" w:sz="0" w:space="0" w:color="auto"/>
        <w:bottom w:val="none" w:sz="0" w:space="0" w:color="auto"/>
        <w:right w:val="none" w:sz="0" w:space="0" w:color="auto"/>
      </w:divBdr>
    </w:div>
    <w:div w:id="1703281478">
      <w:bodyDiv w:val="1"/>
      <w:marLeft w:val="0"/>
      <w:marRight w:val="0"/>
      <w:marTop w:val="0"/>
      <w:marBottom w:val="0"/>
      <w:divBdr>
        <w:top w:val="none" w:sz="0" w:space="0" w:color="auto"/>
        <w:left w:val="none" w:sz="0" w:space="0" w:color="auto"/>
        <w:bottom w:val="none" w:sz="0" w:space="0" w:color="auto"/>
        <w:right w:val="none" w:sz="0" w:space="0" w:color="auto"/>
      </w:divBdr>
    </w:div>
    <w:div w:id="1783961255">
      <w:bodyDiv w:val="1"/>
      <w:marLeft w:val="0"/>
      <w:marRight w:val="0"/>
      <w:marTop w:val="0"/>
      <w:marBottom w:val="0"/>
      <w:divBdr>
        <w:top w:val="none" w:sz="0" w:space="0" w:color="auto"/>
        <w:left w:val="none" w:sz="0" w:space="0" w:color="auto"/>
        <w:bottom w:val="none" w:sz="0" w:space="0" w:color="auto"/>
        <w:right w:val="none" w:sz="0" w:space="0" w:color="auto"/>
      </w:divBdr>
    </w:div>
    <w:div w:id="1931351847">
      <w:bodyDiv w:val="1"/>
      <w:marLeft w:val="0"/>
      <w:marRight w:val="0"/>
      <w:marTop w:val="0"/>
      <w:marBottom w:val="0"/>
      <w:divBdr>
        <w:top w:val="none" w:sz="0" w:space="0" w:color="auto"/>
        <w:left w:val="none" w:sz="0" w:space="0" w:color="auto"/>
        <w:bottom w:val="none" w:sz="0" w:space="0" w:color="auto"/>
        <w:right w:val="none" w:sz="0" w:space="0" w:color="auto"/>
      </w:divBdr>
    </w:div>
    <w:div w:id="1945766303">
      <w:bodyDiv w:val="1"/>
      <w:marLeft w:val="0"/>
      <w:marRight w:val="0"/>
      <w:marTop w:val="0"/>
      <w:marBottom w:val="0"/>
      <w:divBdr>
        <w:top w:val="none" w:sz="0" w:space="0" w:color="auto"/>
        <w:left w:val="none" w:sz="0" w:space="0" w:color="auto"/>
        <w:bottom w:val="none" w:sz="0" w:space="0" w:color="auto"/>
        <w:right w:val="none" w:sz="0" w:space="0" w:color="auto"/>
      </w:divBdr>
    </w:div>
    <w:div w:id="2001493742">
      <w:bodyDiv w:val="1"/>
      <w:marLeft w:val="0"/>
      <w:marRight w:val="0"/>
      <w:marTop w:val="0"/>
      <w:marBottom w:val="0"/>
      <w:divBdr>
        <w:top w:val="none" w:sz="0" w:space="0" w:color="auto"/>
        <w:left w:val="none" w:sz="0" w:space="0" w:color="auto"/>
        <w:bottom w:val="none" w:sz="0" w:space="0" w:color="auto"/>
        <w:right w:val="none" w:sz="0" w:space="0" w:color="auto"/>
      </w:divBdr>
    </w:div>
    <w:div w:id="2136483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iktoriasobol1011@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3D76D0-3E7C-4CB9-89C9-6AD037CD0F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5</Pages>
  <Words>2456</Words>
  <Characters>15059</Characters>
  <Application>Microsoft Office Word</Application>
  <DocSecurity>0</DocSecurity>
  <Lines>273</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Арслан Асташев</dc:creator>
  <cp:keywords/>
  <dc:description/>
  <cp:lastModifiedBy>Арслан Асташев</cp:lastModifiedBy>
  <cp:revision>1</cp:revision>
  <dcterms:created xsi:type="dcterms:W3CDTF">2025-05-12T12:54:00Z</dcterms:created>
  <dcterms:modified xsi:type="dcterms:W3CDTF">2025-05-12T14:59:00Z</dcterms:modified>
</cp:coreProperties>
</file>