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784" w:rsidRPr="00932199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УДК/ББК</w:t>
      </w:r>
      <w:r w:rsidR="0093219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338.49</w:t>
      </w:r>
      <w:r w:rsidR="00932199">
        <w:rPr>
          <w:rFonts w:ascii="Times New Roman" w:eastAsia="Times New Roman" w:hAnsi="Times New Roman" w:cs="Times New Roman"/>
          <w:b/>
          <w:sz w:val="24"/>
          <w:lang w:eastAsia="ru-RU"/>
        </w:rPr>
        <w:t>/ 65.7</w:t>
      </w:r>
    </w:p>
    <w:p w:rsidR="00277FF9" w:rsidRPr="00277FF9" w:rsidRDefault="00277FF9" w:rsidP="00277FF9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Ануфриева Полина Игоревна</w:t>
      </w:r>
      <w:r w:rsidRPr="00277FF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</w:p>
    <w:p w:rsidR="00277FF9" w:rsidRDefault="00277FF9" w:rsidP="00277F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77FF9">
        <w:rPr>
          <w:rFonts w:ascii="Times New Roman" w:eastAsia="Times New Roman" w:hAnsi="Times New Roman" w:cs="Times New Roman"/>
          <w:b/>
          <w:sz w:val="24"/>
          <w:lang w:eastAsia="ru-RU"/>
        </w:rPr>
        <w:t>АНАЛИЗ ВЛИЯНИЯ ЦИФРОВОГО ДОСТУПА НА ЭКОНОМИЧЕСКИЕ АСПЕКТЫ УСТОЙЧИВОГО РАЗВИТИЯ В ОАЭ</w:t>
      </w:r>
    </w:p>
    <w:p w:rsidR="00277FF9" w:rsidRDefault="00277FF9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277FF9" w:rsidRPr="00277FF9" w:rsidRDefault="00277FF9" w:rsidP="00277FF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Аннотация.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77FF9">
        <w:rPr>
          <w:rFonts w:ascii="Times New Roman" w:eastAsia="Times New Roman" w:hAnsi="Times New Roman" w:cs="Times New Roman"/>
          <w:sz w:val="24"/>
          <w:lang w:eastAsia="ru-RU"/>
        </w:rPr>
        <w:t xml:space="preserve">В </w:t>
      </w:r>
      <w:r w:rsidR="007644F1">
        <w:rPr>
          <w:rFonts w:ascii="Times New Roman" w:eastAsia="Times New Roman" w:hAnsi="Times New Roman" w:cs="Times New Roman"/>
          <w:sz w:val="24"/>
          <w:lang w:eastAsia="ru-RU"/>
        </w:rPr>
        <w:t>статье</w:t>
      </w:r>
      <w:r w:rsidRPr="00277FF9">
        <w:rPr>
          <w:rFonts w:ascii="Times New Roman" w:eastAsia="Times New Roman" w:hAnsi="Times New Roman" w:cs="Times New Roman"/>
          <w:sz w:val="24"/>
          <w:lang w:eastAsia="ru-RU"/>
        </w:rPr>
        <w:t xml:space="preserve"> рассматривается состояние доступа к инфраструктуре цифровой экономики</w:t>
      </w:r>
      <w:r w:rsidR="007644F1">
        <w:rPr>
          <w:rFonts w:ascii="Times New Roman" w:eastAsia="Times New Roman" w:hAnsi="Times New Roman" w:cs="Times New Roman"/>
          <w:sz w:val="24"/>
          <w:lang w:eastAsia="ru-RU"/>
        </w:rPr>
        <w:t xml:space="preserve"> в ОАЭ</w:t>
      </w:r>
      <w:r w:rsidRPr="00277FF9">
        <w:rPr>
          <w:rFonts w:ascii="Times New Roman" w:eastAsia="Times New Roman" w:hAnsi="Times New Roman" w:cs="Times New Roman"/>
          <w:sz w:val="24"/>
          <w:lang w:eastAsia="ru-RU"/>
        </w:rPr>
        <w:t xml:space="preserve">, определяются ключевые факторы цифрового подключения. Дается сравнительная характеристика цифрового доступа, качества, возможностей подключения и ценовой доступности в ОАЭ и других странах с использованием данных различных рейтингов. </w:t>
      </w:r>
    </w:p>
    <w:p w:rsidR="002E1784" w:rsidRPr="002E1784" w:rsidRDefault="007644F1" w:rsidP="007644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слова: </w:t>
      </w:r>
      <w:r w:rsidRPr="007644F1">
        <w:rPr>
          <w:rFonts w:ascii="Times New Roman" w:eastAsia="Times New Roman" w:hAnsi="Times New Roman" w:cs="Times New Roman"/>
          <w:sz w:val="24"/>
          <w:lang w:eastAsia="ru-RU"/>
        </w:rPr>
        <w:t>интернет-соединение; инфраструктура; трансформация бизнеса; цифровой доступ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:rsidR="007644F1" w:rsidRDefault="007644F1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4B22B7" w:rsidRDefault="0086170B" w:rsidP="008617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t>Согласно концепции К. Переса о «техноэкономической парадигме», мы живем в эпоху информации и телекоммуникаций [</w:t>
      </w:r>
      <w:r w:rsidR="00765E07" w:rsidRPr="00765E07">
        <w:rPr>
          <w:rFonts w:ascii="Times New Roman" w:eastAsia="Times New Roman" w:hAnsi="Times New Roman" w:cs="Times New Roman"/>
          <w:sz w:val="24"/>
          <w:lang w:eastAsia="ru-RU"/>
        </w:rPr>
        <w:t>6</w:t>
      </w:r>
      <w:r w:rsidRPr="0086170B">
        <w:rPr>
          <w:rFonts w:ascii="Times New Roman" w:eastAsia="Times New Roman" w:hAnsi="Times New Roman" w:cs="Times New Roman"/>
          <w:sz w:val="24"/>
          <w:lang w:eastAsia="ru-RU"/>
        </w:rPr>
        <w:t xml:space="preserve">], а по мнению К. Шваба [7], находимся в начале 4-й промышленной революции, основанной на цифровой революции, включающей повсеместный интернет, компактные датчики и искусственный интеллект. </w:t>
      </w:r>
    </w:p>
    <w:p w:rsidR="004B22B7" w:rsidRDefault="0086170B" w:rsidP="004B22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t>Эта тенденция наблюдается как в развитых, так и в развивающихся странах.</w:t>
      </w:r>
      <w:r w:rsidR="004B22B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В качестве подтверждения, что последние, наряду с 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развитыми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 странами, уже </w:t>
      </w:r>
      <w:r w:rsidR="00387D9A">
        <w:rPr>
          <w:rFonts w:ascii="Times New Roman" w:eastAsia="Times New Roman" w:hAnsi="Times New Roman" w:cs="Times New Roman"/>
          <w:sz w:val="24"/>
          <w:lang w:eastAsia="ru-RU"/>
        </w:rPr>
        <w:t>столкнулись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 с Индустрией 4.0, </w:t>
      </w:r>
      <w:r w:rsidR="00387D9A">
        <w:rPr>
          <w:rFonts w:ascii="Times New Roman" w:eastAsia="Times New Roman" w:hAnsi="Times New Roman" w:cs="Times New Roman"/>
          <w:sz w:val="24"/>
          <w:lang w:eastAsia="ru-RU"/>
        </w:rPr>
        <w:t>разумно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 проанализировать текущее состояние цифровых экономических возможностей в О</w:t>
      </w:r>
      <w:r w:rsidR="00387D9A">
        <w:rPr>
          <w:rFonts w:ascii="Times New Roman" w:eastAsia="Times New Roman" w:hAnsi="Times New Roman" w:cs="Times New Roman"/>
          <w:sz w:val="24"/>
          <w:lang w:eastAsia="ru-RU"/>
        </w:rPr>
        <w:t>бъединенных Арабских Эмиратах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, поскольку эта страна относится к государствам с развивающейся экономикой, согласно страновой 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классификации МВФ, и занимает 11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-е место в </w:t>
      </w:r>
      <w:r w:rsidR="00FD5CEB">
        <w:rPr>
          <w:rFonts w:ascii="Times New Roman" w:eastAsia="Times New Roman" w:hAnsi="Times New Roman" w:cs="Times New Roman"/>
          <w:sz w:val="24"/>
          <w:lang w:eastAsia="ru-RU"/>
        </w:rPr>
        <w:t xml:space="preserve">мировом 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рейтинге циф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ровой конкурентоспособности </w:t>
      </w:r>
      <w:r w:rsidR="00387D9A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IMD 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2024 года с показателем 84,0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6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 xml:space="preserve"> [3</w:t>
      </w:r>
      <w:r w:rsidR="0023770C" w:rsidRPr="0023770C">
        <w:rPr>
          <w:rFonts w:ascii="Times New Roman" w:eastAsia="Times New Roman" w:hAnsi="Times New Roman" w:cs="Times New Roman"/>
          <w:sz w:val="24"/>
          <w:lang w:eastAsia="ru-RU"/>
        </w:rPr>
        <w:t>] (</w:t>
      </w:r>
      <w:r w:rsidR="004B22B7" w:rsidRPr="0023770C">
        <w:rPr>
          <w:rFonts w:ascii="Times New Roman" w:eastAsia="Times New Roman" w:hAnsi="Times New Roman" w:cs="Times New Roman"/>
          <w:sz w:val="24"/>
          <w:lang w:eastAsia="ru-RU"/>
        </w:rPr>
        <w:t>рис. 1).</w:t>
      </w:r>
    </w:p>
    <w:p w:rsidR="0023770C" w:rsidRDefault="0023770C" w:rsidP="004B22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23770C" w:rsidRDefault="0023770C" w:rsidP="0023770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23770C">
        <w:rPr>
          <w:rFonts w:ascii="Times New Roman" w:eastAsia="Times New Roman" w:hAnsi="Times New Roman" w:cs="Times New Roman"/>
          <w:sz w:val="24"/>
          <w:lang w:eastAsia="ru-RU"/>
        </w:rPr>
        <w:drawing>
          <wp:inline distT="0" distB="0" distL="0" distR="0">
            <wp:extent cx="4019550" cy="3952875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grayscl/>
                    </a:blip>
                    <a:srcRect l="25570" t="14844" r="26407" b="53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395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23770C" w:rsidRDefault="0023770C" w:rsidP="0023770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:rsidR="0023770C" w:rsidRDefault="0023770C" w:rsidP="002377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37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Рисунок 1. </w:t>
      </w:r>
      <w:r>
        <w:rPr>
          <w:rFonts w:ascii="Times New Roman" w:hAnsi="Times New Roman" w:cs="Times New Roman"/>
          <w:sz w:val="24"/>
          <w:szCs w:val="24"/>
        </w:rPr>
        <w:t>Мировой рейтинг цифровой конкурентоспособности,</w:t>
      </w:r>
      <w:r w:rsidRPr="0023770C">
        <w:rPr>
          <w:rFonts w:ascii="Times New Roman" w:hAnsi="Times New Roman" w:cs="Times New Roman"/>
          <w:sz w:val="24"/>
          <w:szCs w:val="24"/>
        </w:rPr>
        <w:t xml:space="preserve"> 2024</w:t>
      </w:r>
    </w:p>
    <w:p w:rsidR="0023770C" w:rsidRDefault="0023770C" w:rsidP="0023770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23770C">
        <w:rPr>
          <w:rFonts w:ascii="Times New Roman" w:hAnsi="Times New Roman" w:cs="Times New Roman"/>
          <w:sz w:val="20"/>
          <w:szCs w:val="20"/>
        </w:rPr>
        <w:t xml:space="preserve">Источник: Международный институт управленческого развития, </w:t>
      </w:r>
      <w:r w:rsidRPr="0023770C">
        <w:rPr>
          <w:rFonts w:ascii="Times New Roman" w:hAnsi="Times New Roman" w:cs="Times New Roman"/>
          <w:sz w:val="20"/>
          <w:szCs w:val="20"/>
          <w:lang w:val="en-US"/>
        </w:rPr>
        <w:t>IMD</w:t>
      </w:r>
      <w:r w:rsidRPr="0023770C">
        <w:rPr>
          <w:rFonts w:ascii="Times New Roman" w:hAnsi="Times New Roman" w:cs="Times New Roman"/>
          <w:sz w:val="20"/>
          <w:szCs w:val="20"/>
        </w:rPr>
        <w:t xml:space="preserve"> [3]</w:t>
      </w:r>
    </w:p>
    <w:p w:rsidR="0023770C" w:rsidRPr="0023770C" w:rsidRDefault="0023770C" w:rsidP="0023770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</w:p>
    <w:p w:rsidR="00894D1D" w:rsidRDefault="0086170B" w:rsidP="000632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Цифровой потенциал включает всеобщий цифровой доступ, человеческий капитал, господдержку, инновационный бизнес и поддержку строительства. Всеобщий цифровой доступ, обеспечивающий связь и инфраструктуру, является ключевым для развития цифровой экономики ОАЭ, фундаментом для экономического роста и развития цифровых возможностей. </w:t>
      </w:r>
    </w:p>
    <w:p w:rsidR="0006329D" w:rsidRPr="0006329D" w:rsidRDefault="0086170B" w:rsidP="0006329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t>Цифровой доступ – необходимое условие для использования цифровых возможностей, зависящее от надежной инфраструктуры</w:t>
      </w:r>
      <w:r w:rsidR="00894D1D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состоящей не только из стационарной и мобильной телефонной связи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но и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>электрическ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ой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 xml:space="preserve"> и подводн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ой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 xml:space="preserve"> кабельн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ой инфраструктуры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>, обеспечивающ</w:t>
      </w:r>
      <w:r w:rsidR="0006329D">
        <w:rPr>
          <w:rFonts w:ascii="Times New Roman" w:eastAsia="Times New Roman" w:hAnsi="Times New Roman" w:cs="Times New Roman"/>
          <w:sz w:val="24"/>
          <w:lang w:eastAsia="ru-RU"/>
        </w:rPr>
        <w:t>ей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 xml:space="preserve"> гражданам ОАЭ беспрепятственный доступ к данным и их передачу на мировые рынки, способствуя тем самым глобальной интеграции и экономическому росту</w:t>
      </w:r>
      <w:r w:rsidR="0006329D" w:rsidRPr="0006329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86170B" w:rsidRDefault="0086170B" w:rsidP="0086170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t>Широкое распространение электричества – ключевой фактор цифрового участия. В ОАЭ 100% населения имеют постоянный доступ к электричеству, страна входит в ТОП-10 по качеству электроснабжения и инфраструктуры (таб</w:t>
      </w:r>
      <w:r w:rsidR="00765E07">
        <w:rPr>
          <w:rFonts w:ascii="Times New Roman" w:eastAsia="Times New Roman" w:hAnsi="Times New Roman" w:cs="Times New Roman"/>
          <w:sz w:val="24"/>
          <w:lang w:eastAsia="ru-RU"/>
        </w:rPr>
        <w:t>л. 1). По данным BloombergNEF [</w:t>
      </w:r>
      <w:r w:rsidR="00765E07" w:rsidRPr="00765E07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Pr="0086170B">
        <w:rPr>
          <w:rFonts w:ascii="Times New Roman" w:eastAsia="Times New Roman" w:hAnsi="Times New Roman" w:cs="Times New Roman"/>
          <w:sz w:val="24"/>
          <w:lang w:eastAsia="ru-RU"/>
        </w:rPr>
        <w:t>], средняя цена на электроэнергию в ОАЭ стабильна с 2021 года. С 2017 года средняя цена колебалась от 62,62 долл. США/МВтч (2020) до 76,23 долл. США/МВтч (2017).</w:t>
      </w:r>
    </w:p>
    <w:p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Таблица 1</w:t>
      </w:r>
    </w:p>
    <w:p w:rsidR="002E1784" w:rsidRPr="002E1784" w:rsidRDefault="0086170B" w:rsidP="008A2F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86170B">
        <w:rPr>
          <w:rFonts w:ascii="Times New Roman" w:eastAsia="Times New Roman" w:hAnsi="Times New Roman" w:cs="Times New Roman"/>
          <w:sz w:val="24"/>
          <w:lang w:eastAsia="ru-RU"/>
        </w:rPr>
        <w:t xml:space="preserve">Широкий охват электричеством в ОАЭ </w:t>
      </w:r>
    </w:p>
    <w:tbl>
      <w:tblPr>
        <w:tblW w:w="0" w:type="auto"/>
        <w:jc w:val="center"/>
        <w:tblInd w:w="-3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71"/>
        <w:gridCol w:w="2393"/>
        <w:gridCol w:w="3437"/>
      </w:tblGrid>
      <w:tr w:rsidR="0086170B" w:rsidRPr="002E1784" w:rsidTr="00CA4FEE">
        <w:trPr>
          <w:jc w:val="center"/>
        </w:trPr>
        <w:tc>
          <w:tcPr>
            <w:tcW w:w="2771" w:type="dxa"/>
            <w:shd w:val="clear" w:color="auto" w:fill="auto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t>Параметр измерения</w:t>
            </w:r>
          </w:p>
        </w:tc>
        <w:tc>
          <w:tcPr>
            <w:tcW w:w="2393" w:type="dxa"/>
            <w:shd w:val="clear" w:color="auto" w:fill="auto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t>Показатель</w:t>
            </w:r>
          </w:p>
        </w:tc>
        <w:tc>
          <w:tcPr>
            <w:tcW w:w="3437" w:type="dxa"/>
            <w:shd w:val="clear" w:color="auto" w:fill="auto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t>Источник</w:t>
            </w:r>
          </w:p>
        </w:tc>
      </w:tr>
      <w:tr w:rsidR="0086170B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Доступ к электричеству (% населения)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100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t>World</w:t>
            </w:r>
            <w:r w:rsidRPr="006A316D">
              <w:rPr>
                <w:lang w:val="en-US"/>
              </w:rPr>
              <w:t xml:space="preserve"> </w:t>
            </w:r>
            <w:r w:rsidRPr="006A316D">
              <w:t>Bank, 2022 [1</w:t>
            </w:r>
            <w:r w:rsidRPr="006A316D">
              <w:rPr>
                <w:lang w:val="en-US"/>
              </w:rPr>
              <w:t>0</w:t>
            </w:r>
            <w:r w:rsidRPr="006A316D">
              <w:t>]</w:t>
            </w:r>
          </w:p>
        </w:tc>
      </w:tr>
      <w:tr w:rsidR="0086170B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Доступ к электричеству (% сельского населения)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100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t>World</w:t>
            </w:r>
            <w:r w:rsidRPr="006A316D">
              <w:rPr>
                <w:lang w:val="en-US"/>
              </w:rPr>
              <w:t xml:space="preserve"> </w:t>
            </w:r>
            <w:r w:rsidRPr="006A316D">
              <w:t>Bank, 2022 [1</w:t>
            </w:r>
            <w:r w:rsidRPr="006A316D">
              <w:rPr>
                <w:lang w:val="en-US"/>
              </w:rPr>
              <w:t>0</w:t>
            </w:r>
            <w:r w:rsidRPr="006A316D">
              <w:t>]</w:t>
            </w:r>
          </w:p>
        </w:tc>
      </w:tr>
      <w:tr w:rsidR="0086170B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Надежность электроснабжения и прозрачность тарифного индекса (рейтинг страны)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hAnsi="Times New Roman" w:cs="Times New Roman"/>
              </w:rPr>
              <w:t>1/190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rPr>
                <w:lang w:val="en-US"/>
              </w:rPr>
              <w:t>World Bank Doing Business Report</w:t>
            </w:r>
            <w:r w:rsidRPr="006A316D">
              <w:t xml:space="preserve"> </w:t>
            </w:r>
            <w:r w:rsidRPr="006A316D">
              <w:rPr>
                <w:lang w:val="en-US"/>
              </w:rPr>
              <w:t>2020 [</w:t>
            </w:r>
            <w:r w:rsidR="00765E07">
              <w:rPr>
                <w:lang w:val="en-US"/>
              </w:rPr>
              <w:t>12</w:t>
            </w:r>
            <w:r w:rsidRPr="006A316D">
              <w:rPr>
                <w:lang w:val="en-US"/>
              </w:rPr>
              <w:t>] (</w:t>
            </w:r>
            <w:r w:rsidRPr="006A316D">
              <w:t>нет обновленной статистики)</w:t>
            </w:r>
          </w:p>
        </w:tc>
      </w:tr>
      <w:tr w:rsidR="0086170B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>Общая частота отключений на одного клиента в год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86170B" w:rsidRPr="006A316D" w:rsidRDefault="0086170B" w:rsidP="00861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86170B" w:rsidRPr="006A316D" w:rsidRDefault="0086170B" w:rsidP="009E5781">
            <w:pPr>
              <w:pStyle w:val="TableParagraph"/>
              <w:spacing w:line="240" w:lineRule="auto"/>
            </w:pPr>
            <w:r w:rsidRPr="006A316D">
              <w:rPr>
                <w:lang w:val="en-US"/>
              </w:rPr>
              <w:t>World Bank Doing Business Report</w:t>
            </w:r>
            <w:r w:rsidRPr="006A316D">
              <w:t xml:space="preserve"> </w:t>
            </w:r>
            <w:r w:rsidRPr="006A316D">
              <w:rPr>
                <w:lang w:val="en-US"/>
              </w:rPr>
              <w:t>2020</w:t>
            </w:r>
            <w:r w:rsidR="00765E07">
              <w:rPr>
                <w:lang w:val="en-US"/>
              </w:rPr>
              <w:t xml:space="preserve"> [12</w:t>
            </w:r>
            <w:r w:rsidRPr="006A316D">
              <w:rPr>
                <w:lang w:val="en-US"/>
              </w:rPr>
              <w:t>] (</w:t>
            </w:r>
            <w:r w:rsidRPr="006A316D">
              <w:t>нет обновленной статистики)</w:t>
            </w:r>
          </w:p>
        </w:tc>
      </w:tr>
      <w:tr w:rsidR="0086170B" w:rsidRPr="002E1784" w:rsidTr="00CA4FEE">
        <w:trPr>
          <w:jc w:val="center"/>
        </w:trPr>
        <w:tc>
          <w:tcPr>
            <w:tcW w:w="8601" w:type="dxa"/>
            <w:gridSpan w:val="3"/>
            <w:shd w:val="clear" w:color="auto" w:fill="auto"/>
          </w:tcPr>
          <w:p w:rsidR="0086170B" w:rsidRPr="006A316D" w:rsidRDefault="0086170B" w:rsidP="0086170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 xml:space="preserve">Источник: составлено автором на основе данных </w:t>
            </w:r>
            <w:r w:rsidRPr="006A316D">
              <w:rPr>
                <w:rFonts w:ascii="Times New Roman" w:hAnsi="Times New Roman" w:cs="Times New Roman"/>
              </w:rPr>
              <w:t>World Bank, 2022</w:t>
            </w:r>
            <w:r w:rsidRPr="006A316D">
              <w:rPr>
                <w:rFonts w:ascii="Times New Roman" w:hAnsi="Times New Roman" w:cs="Times New Roman"/>
              </w:rPr>
              <w:t xml:space="preserve"> и </w:t>
            </w:r>
            <w:r w:rsidRPr="006A316D">
              <w:rPr>
                <w:rFonts w:ascii="Times New Roman" w:hAnsi="Times New Roman" w:cs="Times New Roman"/>
                <w:lang w:val="en-US"/>
              </w:rPr>
              <w:t>World</w:t>
            </w:r>
            <w:r w:rsidRPr="006A316D">
              <w:rPr>
                <w:rFonts w:ascii="Times New Roman" w:hAnsi="Times New Roman" w:cs="Times New Roman"/>
              </w:rPr>
              <w:t xml:space="preserve"> </w:t>
            </w:r>
            <w:r w:rsidRPr="006A316D">
              <w:rPr>
                <w:rFonts w:ascii="Times New Roman" w:hAnsi="Times New Roman" w:cs="Times New Roman"/>
                <w:lang w:val="en-US"/>
              </w:rPr>
              <w:t>Bank</w:t>
            </w:r>
            <w:r w:rsidRPr="006A316D">
              <w:rPr>
                <w:rFonts w:ascii="Times New Roman" w:hAnsi="Times New Roman" w:cs="Times New Roman"/>
              </w:rPr>
              <w:t xml:space="preserve"> </w:t>
            </w:r>
            <w:r w:rsidRPr="006A316D">
              <w:rPr>
                <w:rFonts w:ascii="Times New Roman" w:hAnsi="Times New Roman" w:cs="Times New Roman"/>
                <w:lang w:val="en-US"/>
              </w:rPr>
              <w:t>Doing</w:t>
            </w:r>
            <w:r w:rsidRPr="006A316D">
              <w:rPr>
                <w:rFonts w:ascii="Times New Roman" w:hAnsi="Times New Roman" w:cs="Times New Roman"/>
              </w:rPr>
              <w:t xml:space="preserve"> </w:t>
            </w:r>
            <w:r w:rsidRPr="006A316D">
              <w:rPr>
                <w:rFonts w:ascii="Times New Roman" w:hAnsi="Times New Roman" w:cs="Times New Roman"/>
                <w:lang w:val="en-US"/>
              </w:rPr>
              <w:t>Business</w:t>
            </w:r>
            <w:r w:rsidRPr="006A316D">
              <w:rPr>
                <w:rFonts w:ascii="Times New Roman" w:hAnsi="Times New Roman" w:cs="Times New Roman"/>
              </w:rPr>
              <w:t xml:space="preserve"> </w:t>
            </w:r>
            <w:r w:rsidRPr="006A316D">
              <w:rPr>
                <w:rFonts w:ascii="Times New Roman" w:hAnsi="Times New Roman" w:cs="Times New Roman"/>
                <w:lang w:val="en-US"/>
              </w:rPr>
              <w:t>Report</w:t>
            </w:r>
            <w:r w:rsidRPr="006A316D">
              <w:rPr>
                <w:rFonts w:ascii="Times New Roman" w:hAnsi="Times New Roman" w:cs="Times New Roman"/>
              </w:rPr>
              <w:t xml:space="preserve"> 2020</w:t>
            </w:r>
          </w:p>
        </w:tc>
      </w:tr>
    </w:tbl>
    <w:p w:rsidR="006A316D" w:rsidRDefault="006A316D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6A316D" w:rsidRDefault="006A316D" w:rsidP="006A31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6A316D">
        <w:rPr>
          <w:rFonts w:ascii="Times New Roman" w:eastAsia="Times New Roman" w:hAnsi="Times New Roman" w:cs="Times New Roman"/>
          <w:sz w:val="24"/>
          <w:lang w:eastAsia="ru-RU"/>
        </w:rPr>
        <w:t>ОАЭ располагают развитой инфраструктурой связи, необходимой для поддержания транспорта и глобальной широкополосной связи. Страна занимает 15-е место из 134 по пропускной способности на пользователя и имеет три подводных кабеля, соединяющих ее с миром. В таблице 2 описано наличие высококачественных подводных кабелей.</w:t>
      </w:r>
    </w:p>
    <w:p w:rsidR="006A316D" w:rsidRPr="002E1784" w:rsidRDefault="006A316D" w:rsidP="006A316D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Таблица </w:t>
      </w:r>
      <w:r>
        <w:rPr>
          <w:rFonts w:ascii="Times New Roman" w:eastAsia="Times New Roman" w:hAnsi="Times New Roman" w:cs="Times New Roman"/>
          <w:iCs/>
          <w:sz w:val="24"/>
          <w:lang w:eastAsia="ru-RU"/>
        </w:rPr>
        <w:t>2</w:t>
      </w:r>
    </w:p>
    <w:p w:rsidR="006A316D" w:rsidRPr="002E1784" w:rsidRDefault="006A316D" w:rsidP="006A316D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6A316D">
        <w:rPr>
          <w:rFonts w:ascii="Times New Roman" w:eastAsia="Times New Roman" w:hAnsi="Times New Roman" w:cs="Times New Roman"/>
          <w:sz w:val="24"/>
          <w:lang w:eastAsia="ru-RU"/>
        </w:rPr>
        <w:t>Наличие высококачественных подводных кабелей в ОАЭ</w:t>
      </w:r>
    </w:p>
    <w:tbl>
      <w:tblPr>
        <w:tblW w:w="0" w:type="auto"/>
        <w:jc w:val="center"/>
        <w:tblInd w:w="-3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71"/>
        <w:gridCol w:w="2393"/>
        <w:gridCol w:w="3437"/>
      </w:tblGrid>
      <w:tr w:rsidR="006A316D" w:rsidRPr="002E1784" w:rsidTr="00CA4FEE">
        <w:trPr>
          <w:jc w:val="center"/>
        </w:trPr>
        <w:tc>
          <w:tcPr>
            <w:tcW w:w="2771" w:type="dxa"/>
            <w:shd w:val="clear" w:color="auto" w:fill="auto"/>
          </w:tcPr>
          <w:p w:rsidR="006A316D" w:rsidRPr="0086170B" w:rsidRDefault="006A316D" w:rsidP="009E5781">
            <w:pPr>
              <w:pStyle w:val="TableParagraph"/>
              <w:spacing w:line="240" w:lineRule="auto"/>
            </w:pPr>
            <w:r w:rsidRPr="0086170B">
              <w:t>Параметр измерения</w:t>
            </w:r>
          </w:p>
        </w:tc>
        <w:tc>
          <w:tcPr>
            <w:tcW w:w="2393" w:type="dxa"/>
            <w:shd w:val="clear" w:color="auto" w:fill="auto"/>
          </w:tcPr>
          <w:p w:rsidR="006A316D" w:rsidRPr="0086170B" w:rsidRDefault="006A316D" w:rsidP="009E5781">
            <w:pPr>
              <w:pStyle w:val="TableParagraph"/>
              <w:spacing w:line="240" w:lineRule="auto"/>
            </w:pPr>
            <w:r w:rsidRPr="0086170B">
              <w:t>Показатель</w:t>
            </w:r>
          </w:p>
        </w:tc>
        <w:tc>
          <w:tcPr>
            <w:tcW w:w="3437" w:type="dxa"/>
            <w:shd w:val="clear" w:color="auto" w:fill="auto"/>
          </w:tcPr>
          <w:p w:rsidR="006A316D" w:rsidRPr="0086170B" w:rsidRDefault="006A316D" w:rsidP="009E5781">
            <w:pPr>
              <w:pStyle w:val="TableParagraph"/>
              <w:spacing w:line="240" w:lineRule="auto"/>
            </w:pPr>
            <w:r w:rsidRPr="0086170B">
              <w:t>Источник</w:t>
            </w:r>
          </w:p>
        </w:tc>
      </w:tr>
      <w:tr w:rsidR="006A316D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Количество подводных кабелей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3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TeleGeography, 2024 [9]</w:t>
            </w:r>
          </w:p>
        </w:tc>
      </w:tr>
      <w:tr w:rsidR="006A316D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Международная пропускная способность на одного пользователя Интернета (кБит/с)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 xml:space="preserve">46,58 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  <w:rPr>
                <w:lang w:val="en-US"/>
              </w:rPr>
            </w:pPr>
            <w:r w:rsidRPr="006A316D">
              <w:t>World</w:t>
            </w:r>
            <w:r w:rsidRPr="006A316D">
              <w:rPr>
                <w:lang w:val="en-US"/>
              </w:rPr>
              <w:t xml:space="preserve"> </w:t>
            </w:r>
            <w:r w:rsidRPr="006A316D">
              <w:t>Bank, 2024 [1</w:t>
            </w:r>
            <w:r w:rsidRPr="006A316D">
              <w:rPr>
                <w:lang w:val="en-US"/>
              </w:rPr>
              <w:t>1</w:t>
            </w:r>
            <w:r w:rsidRPr="006A316D">
              <w:t>]</w:t>
            </w:r>
          </w:p>
        </w:tc>
      </w:tr>
      <w:tr w:rsidR="006A316D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  <w:rPr>
                <w:lang w:val="en-US"/>
              </w:rPr>
            </w:pPr>
            <w:r w:rsidRPr="006A316D">
              <w:rPr>
                <w:lang w:val="en-US"/>
              </w:rPr>
              <w:t>International Internet Bandwidth per user (</w:t>
            </w:r>
            <w:r w:rsidRPr="006A316D">
              <w:t>рейтинг страны</w:t>
            </w:r>
            <w:r w:rsidRPr="006A316D">
              <w:rPr>
                <w:lang w:val="en-US"/>
              </w:rPr>
              <w:t>)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15/134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Network</w:t>
            </w:r>
            <w:r w:rsidRPr="006A316D">
              <w:rPr>
                <w:lang w:val="en-US"/>
              </w:rPr>
              <w:t xml:space="preserve"> </w:t>
            </w:r>
            <w:r w:rsidRPr="006A316D">
              <w:t>Readiness</w:t>
            </w:r>
            <w:r w:rsidRPr="006A316D">
              <w:rPr>
                <w:lang w:val="en-US"/>
              </w:rPr>
              <w:t xml:space="preserve"> </w:t>
            </w:r>
            <w:r w:rsidRPr="006A316D">
              <w:t>Index</w:t>
            </w:r>
            <w:r w:rsidRPr="006A316D">
              <w:rPr>
                <w:lang w:val="en-US"/>
              </w:rPr>
              <w:t xml:space="preserve"> </w:t>
            </w:r>
            <w:r w:rsidRPr="006A316D">
              <w:t>Report 2023 [</w:t>
            </w:r>
            <w:r w:rsidR="00765E07">
              <w:rPr>
                <w:lang w:val="en-US"/>
              </w:rPr>
              <w:t>5</w:t>
            </w:r>
            <w:r w:rsidRPr="006A316D">
              <w:t>]</w:t>
            </w:r>
          </w:p>
        </w:tc>
      </w:tr>
      <w:tr w:rsidR="006A316D" w:rsidRPr="002E1784" w:rsidTr="00CA4FEE">
        <w:trPr>
          <w:jc w:val="center"/>
        </w:trPr>
        <w:tc>
          <w:tcPr>
            <w:tcW w:w="2771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Количество подводных кабелей</w:t>
            </w:r>
          </w:p>
        </w:tc>
        <w:tc>
          <w:tcPr>
            <w:tcW w:w="2393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3</w:t>
            </w:r>
          </w:p>
        </w:tc>
        <w:tc>
          <w:tcPr>
            <w:tcW w:w="3437" w:type="dxa"/>
            <w:shd w:val="clear" w:color="auto" w:fill="auto"/>
            <w:vAlign w:val="center"/>
          </w:tcPr>
          <w:p w:rsidR="006A316D" w:rsidRPr="006A316D" w:rsidRDefault="006A316D" w:rsidP="009E5781">
            <w:pPr>
              <w:pStyle w:val="TableParagraph"/>
              <w:spacing w:line="240" w:lineRule="auto"/>
            </w:pPr>
            <w:r w:rsidRPr="006A316D">
              <w:t>TeleGeography, 2024 [9]</w:t>
            </w:r>
          </w:p>
        </w:tc>
      </w:tr>
      <w:tr w:rsidR="006A316D" w:rsidRPr="002E1784" w:rsidTr="00CA4FEE">
        <w:trPr>
          <w:trHeight w:val="354"/>
          <w:jc w:val="center"/>
        </w:trPr>
        <w:tc>
          <w:tcPr>
            <w:tcW w:w="8601" w:type="dxa"/>
            <w:gridSpan w:val="3"/>
            <w:shd w:val="clear" w:color="auto" w:fill="auto"/>
          </w:tcPr>
          <w:p w:rsidR="006A316D" w:rsidRPr="00485E83" w:rsidRDefault="006A316D" w:rsidP="00485E8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6A316D">
              <w:rPr>
                <w:rFonts w:ascii="Times New Roman" w:eastAsia="Times New Roman" w:hAnsi="Times New Roman" w:cs="Times New Roman"/>
                <w:lang w:eastAsia="ru-RU"/>
              </w:rPr>
              <w:t xml:space="preserve">Источник: составлено автором на основе данных </w:t>
            </w:r>
            <w:r w:rsidR="00485E83" w:rsidRPr="006A316D">
              <w:rPr>
                <w:rFonts w:ascii="Times New Roman" w:hAnsi="Times New Roman" w:cs="Times New Roman"/>
              </w:rPr>
              <w:t>Network Readiness Index Report 2023</w:t>
            </w:r>
            <w:r w:rsidR="00485E83" w:rsidRPr="00485E83">
              <w:rPr>
                <w:rFonts w:ascii="Times New Roman" w:hAnsi="Times New Roman" w:cs="Times New Roman"/>
              </w:rPr>
              <w:t xml:space="preserve">, </w:t>
            </w:r>
            <w:r w:rsidRPr="006A316D">
              <w:rPr>
                <w:rFonts w:ascii="Times New Roman" w:hAnsi="Times New Roman" w:cs="Times New Roman"/>
              </w:rPr>
              <w:t xml:space="preserve">World </w:t>
            </w:r>
            <w:r w:rsidR="00485E83">
              <w:rPr>
                <w:rFonts w:ascii="Times New Roman" w:hAnsi="Times New Roman" w:cs="Times New Roman"/>
              </w:rPr>
              <w:t>Bank, 2024</w:t>
            </w:r>
            <w:r w:rsidRPr="006A316D">
              <w:rPr>
                <w:rFonts w:ascii="Times New Roman" w:hAnsi="Times New Roman" w:cs="Times New Roman"/>
              </w:rPr>
              <w:t xml:space="preserve"> и </w:t>
            </w:r>
            <w:r w:rsidR="00485E83" w:rsidRPr="006A316D">
              <w:rPr>
                <w:rFonts w:ascii="Times New Roman" w:hAnsi="Times New Roman" w:cs="Times New Roman"/>
              </w:rPr>
              <w:t>TeleGeography, 2024</w:t>
            </w:r>
          </w:p>
        </w:tc>
      </w:tr>
    </w:tbl>
    <w:p w:rsidR="006A316D" w:rsidRPr="006A316D" w:rsidRDefault="006A316D" w:rsidP="006A31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152AEA" w:rsidRPr="00152AEA" w:rsidRDefault="00152AEA" w:rsidP="00152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52AEA">
        <w:rPr>
          <w:rFonts w:ascii="Times New Roman" w:eastAsia="Times New Roman" w:hAnsi="Times New Roman" w:cs="Times New Roman"/>
          <w:sz w:val="24"/>
          <w:lang w:eastAsia="ru-RU"/>
        </w:rPr>
        <w:lastRenderedPageBreak/>
        <w:t>Развитая сеть фиксированной связи обеспечивает подключение предприятий и частных лиц, а по уровню проникновения фиксированной широкополосной связи ОАЭ – на 23-м месте в мире. Волоконно-оптические сети обслуживают 99,3% домохозяй</w:t>
      </w:r>
      <w:r w:rsidR="00765E07">
        <w:rPr>
          <w:rFonts w:ascii="Times New Roman" w:eastAsia="Times New Roman" w:hAnsi="Times New Roman" w:cs="Times New Roman"/>
          <w:sz w:val="24"/>
          <w:lang w:eastAsia="ru-RU"/>
        </w:rPr>
        <w:t>ств, подключенных к интернету [</w:t>
      </w:r>
      <w:r w:rsidR="00765E07" w:rsidRPr="00765E07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Pr="00152AEA">
        <w:rPr>
          <w:rFonts w:ascii="Times New Roman" w:eastAsia="Times New Roman" w:hAnsi="Times New Roman" w:cs="Times New Roman"/>
          <w:sz w:val="24"/>
          <w:lang w:eastAsia="ru-RU"/>
        </w:rPr>
        <w:t>], что делает ОАЭ мировым лидером по проникновению оптоволокна в дом. Всеобъемлющее покрытие мобильных сетей, включая 3G и 4G, охватывает 100% населения, обеспечивая связь для частных лиц и микропредпринимателей.</w:t>
      </w:r>
    </w:p>
    <w:p w:rsidR="00152AEA" w:rsidRPr="00152AEA" w:rsidRDefault="00152AEA" w:rsidP="00152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52AEA">
        <w:rPr>
          <w:rFonts w:ascii="Times New Roman" w:eastAsia="Times New Roman" w:hAnsi="Times New Roman" w:cs="Times New Roman"/>
          <w:sz w:val="24"/>
          <w:lang w:eastAsia="ru-RU"/>
        </w:rPr>
        <w:t xml:space="preserve">В июне 2024 года ОАЭ лидировали в рейтинге Speedtest Global Index по скорости мобильного интернета: 398,51 Мбит/с – скорость скачивания, 27,65 Мбит/с – загрузки, а задержка  составляет 19 миллисекунд [8]. Мобильная связь – основной инструмент цифровой интеграции, по данным МСЭ [9], ею пользуются 94,2%, жителей для доступа в интернет. Развитие мобильных широкополосных сетей способствует росту пользователей. </w:t>
      </w:r>
    </w:p>
    <w:p w:rsidR="00152AEA" w:rsidRPr="003D262A" w:rsidRDefault="00152AEA" w:rsidP="00152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52AEA">
        <w:rPr>
          <w:rFonts w:ascii="Times New Roman" w:eastAsia="Times New Roman" w:hAnsi="Times New Roman" w:cs="Times New Roman"/>
          <w:sz w:val="24"/>
          <w:lang w:eastAsia="ru-RU"/>
        </w:rPr>
        <w:t>Средняя стоимость 1 ГБ данных в ОАЭ составляет 4,61 доллара США [</w:t>
      </w:r>
      <w:r w:rsidR="00765E07" w:rsidRPr="00765E07">
        <w:rPr>
          <w:rFonts w:ascii="Times New Roman" w:eastAsia="Times New Roman" w:hAnsi="Times New Roman" w:cs="Times New Roman"/>
          <w:sz w:val="24"/>
          <w:lang w:eastAsia="ru-RU"/>
        </w:rPr>
        <w:t>4</w:t>
      </w:r>
      <w:r w:rsidRPr="00152AEA">
        <w:rPr>
          <w:rFonts w:ascii="Times New Roman" w:eastAsia="Times New Roman" w:hAnsi="Times New Roman" w:cs="Times New Roman"/>
          <w:sz w:val="24"/>
          <w:lang w:eastAsia="ru-RU"/>
        </w:rPr>
        <w:t xml:space="preserve">]. При среднем годовом доходе в 49 160 долларов, житель тратит 3,42% дневного дохода на 1 ГБ. Покупка 10 ГБ (среднемесячное потребление) обходится в 46,10 доллара, или 1,13% месячного дохода.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ОАЭ занимают 6-е место на Ближнем Востоке по доступности мобильных данных.</w:t>
      </w:r>
    </w:p>
    <w:p w:rsidR="002866D3" w:rsidRPr="003D262A" w:rsidRDefault="00152AEA" w:rsidP="002866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Таким образом, 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>всеобщий цифровой доступ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оказывает непосредственное влияние на расширение возможностей для работников, предприятий и потребителей 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>посредством упрощения</w:t>
      </w:r>
      <w:r w:rsidR="00C367D1">
        <w:rPr>
          <w:rFonts w:ascii="Times New Roman" w:eastAsia="Times New Roman" w:hAnsi="Times New Roman" w:cs="Times New Roman"/>
          <w:sz w:val="24"/>
          <w:lang w:eastAsia="ru-RU"/>
        </w:rPr>
        <w:t xml:space="preserve"> их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интеграции в цифровую экономику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>. Доступ к цифровым технологиям позволяет людям с низкой квалификацией находить и использовать новые возможности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для трудоустройства и профессионального развития. Для потребителей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, в свою очередь, обеспечивается доступ 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к более дешевым и качественным товарам и услугам, которые раньше были доступны лишь </w:t>
      </w:r>
      <w:r w:rsidR="00B4333B" w:rsidRPr="003D262A">
        <w:rPr>
          <w:rFonts w:ascii="Times New Roman" w:eastAsia="Times New Roman" w:hAnsi="Times New Roman" w:cs="Times New Roman"/>
          <w:sz w:val="24"/>
          <w:lang w:eastAsia="ru-RU"/>
        </w:rPr>
        <w:t>ограниченному кругу лиц с высоким уровнем дохода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3D262A" w:rsidRPr="003D262A" w:rsidRDefault="003D262A" w:rsidP="003D262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D262A">
        <w:rPr>
          <w:rFonts w:ascii="Times New Roman" w:eastAsia="Times New Roman" w:hAnsi="Times New Roman" w:cs="Times New Roman"/>
          <w:sz w:val="24"/>
          <w:lang w:eastAsia="ru-RU"/>
        </w:rPr>
        <w:t>Всеобщий цифровой доступ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является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ключевым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элементом, формирующим условия для инклюзивности в рамках других компонентов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цифрового потенциала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. В контексте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развития человеческого капитала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всеобщий цифровой доступ значительно расширяет аудиторию, имеющую возможность использовать цифровые образовательные ресурсы, которые могут служить дополнением или альтернативой традиционным формам обучения. Доступность цифровой инфраструктуры напрямую определяет возможность участия в образовательных программах, поскольку высокая стоимость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ограничивает доступ для людей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с низким уровнем дохода.</w:t>
      </w:r>
    </w:p>
    <w:p w:rsidR="00B4333B" w:rsidRPr="003D262A" w:rsidRDefault="003D262A" w:rsidP="00B433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В области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бизнес-инноваций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всеобщий цифровой доступ стимулирует предприятия любого размера и уровня развития к созданию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новых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бизнес-моделей, основанных на применении цифровых технологий. 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Это позволяет использовать цифровые товары и услуги в качестве 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ресурсов</w:t>
      </w:r>
      <w:r w:rsidR="002866D3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и взаимодействовать с другими предприятиями независи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мо от географического положения</w:t>
      </w:r>
      <w:r w:rsidRPr="003D262A">
        <w:rPr>
          <w:rFonts w:ascii="Times New Roman" w:eastAsia="Times New Roman" w:hAnsi="Times New Roman" w:cs="Times New Roman"/>
          <w:sz w:val="24"/>
          <w:lang w:eastAsia="ru-RU"/>
        </w:rPr>
        <w:t>, способствуя тем самым формированию глобальной цифровой экосистемы.</w:t>
      </w:r>
    </w:p>
    <w:p w:rsidR="002E1784" w:rsidRDefault="002866D3" w:rsidP="00B433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D262A">
        <w:rPr>
          <w:rFonts w:ascii="Times New Roman" w:eastAsia="Times New Roman" w:hAnsi="Times New Roman" w:cs="Times New Roman"/>
          <w:sz w:val="24"/>
          <w:lang w:eastAsia="ru-RU"/>
        </w:rPr>
        <w:t>В</w:t>
      </w:r>
      <w:r w:rsidR="00152AEA" w:rsidRPr="003D262A">
        <w:rPr>
          <w:rFonts w:ascii="Times New Roman" w:eastAsia="Times New Roman" w:hAnsi="Times New Roman" w:cs="Times New Roman"/>
          <w:sz w:val="24"/>
          <w:lang w:eastAsia="ru-RU"/>
        </w:rPr>
        <w:t xml:space="preserve"> ОАЭ цифровые технологии играют ключевую роль в развитии экономики. Обеспечение равного доступа к цифровым технологиям стимулирует инновации, оптимизирует процессы и создает надежную среду для экономического роста. Инвестиции в цифровую инфраструктуру и инициативы по улучшению доступности расширят возможности всех участников, обеспечивая их участие в цифровом пространстве и получение выгоды от него, что способствует экономическому развитию и делает ОАЭ лидером в мировой цифровой экономике.</w:t>
      </w:r>
    </w:p>
    <w:p w:rsidR="00152AEA" w:rsidRPr="00152AEA" w:rsidRDefault="00152AEA" w:rsidP="00152AE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2E1784" w:rsidRPr="00D10C8B" w:rsidRDefault="00D546F6" w:rsidP="008A182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D10C8B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</w:p>
    <w:p w:rsidR="00D546F6" w:rsidRPr="00B81A22" w:rsidRDefault="00D546F6" w:rsidP="00C95279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D10C8B">
        <w:rPr>
          <w:rFonts w:ascii="Times New Roman" w:eastAsia="Times New Roman" w:hAnsi="Times New Roman" w:cs="Times New Roman"/>
          <w:sz w:val="24"/>
          <w:lang w:val="en-US" w:eastAsia="ru-RU"/>
        </w:rPr>
        <w:t xml:space="preserve">1. </w:t>
      </w:r>
      <w:r w:rsid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Climatescope </w:t>
      </w:r>
      <w:r w:rsidR="004657EF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2022. Power Transition Factbook.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BloombergNEF.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="004657EF" w:rsidRPr="00B81A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4657EF" w:rsidRPr="00B81A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global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climatescope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org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downloads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climatescope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-2022-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power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report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en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pdf</w:t>
      </w:r>
      <w:r w:rsidRPr="00B81A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D546F6" w:rsidRPr="004657EF" w:rsidRDefault="00C95279" w:rsidP="00D546F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2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  </w:t>
      </w:r>
      <w:r w:rsidR="00D546F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FTTH/B Global Ranking 2023.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Available</w:t>
      </w:r>
      <w:r w:rsidR="004657EF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4657EF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://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ftthcouncil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eu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/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resources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/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all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publications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and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assets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/1710/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ftth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b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global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4657EF">
        <w:rPr>
          <w:rFonts w:ascii="Times New Roman" w:eastAsia="Times New Roman" w:hAnsi="Times New Roman" w:cs="Times New Roman"/>
          <w:sz w:val="24"/>
          <w:lang w:val="en-US" w:eastAsia="ru-RU"/>
        </w:rPr>
        <w:t>ranking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-2023 </w:t>
      </w:r>
    </w:p>
    <w:p w:rsidR="00D546F6" w:rsidRPr="00C95279" w:rsidRDefault="00C95279" w:rsidP="00C95279">
      <w:pPr>
        <w:tabs>
          <w:tab w:val="left" w:pos="1134"/>
          <w:tab w:val="left" w:pos="1560"/>
          <w:tab w:val="left" w:pos="170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3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 </w:t>
      </w:r>
      <w:r w:rsidR="00D546F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IMD World Digital Competitiveness Ranking 2024.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="004657EF" w:rsidRP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4657EF" w:rsidRP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imd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org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wcc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world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competitiveness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center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rankings</w:t>
      </w:r>
      <w:r w:rsidR="00D546F6"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</w:p>
    <w:p w:rsidR="00D546F6" w:rsidRPr="004657EF" w:rsidRDefault="00C95279" w:rsidP="00D546F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>4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 </w:t>
      </w:r>
      <w:r w:rsidR="00D546F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Mobile Data Affordability Index 2024.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="004657EF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4657EF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://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comparedial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/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mobile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data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affordability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>-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index</w:t>
      </w:r>
      <w:r w:rsidR="00D546F6" w:rsidRPr="004657E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D546F6" w:rsidRDefault="00C95279" w:rsidP="00D546F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5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 </w:t>
      </w:r>
      <w:r w:rsidR="00D546F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Network Readiness Index Report 2023.</w:t>
      </w:r>
      <w:r w:rsidR="00D546F6"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="004657EF" w:rsidRP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4657EF" w:rsidRP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hyperlink r:id="rId8" w:history="1">
        <w:r w:rsidRPr="008121EF">
          <w:rPr>
            <w:rStyle w:val="a4"/>
            <w:rFonts w:ascii="Times New Roman" w:eastAsia="Times New Roman" w:hAnsi="Times New Roman" w:cs="Times New Roman"/>
            <w:sz w:val="24"/>
            <w:lang w:val="en-US" w:eastAsia="ru-RU"/>
          </w:rPr>
          <w:t>https://networkreadinessindex.org/</w:t>
        </w:r>
      </w:hyperlink>
    </w:p>
    <w:p w:rsidR="00C95279" w:rsidRPr="004657EF" w:rsidRDefault="00C95279" w:rsidP="00C95279">
      <w:pPr>
        <w:tabs>
          <w:tab w:val="left" w:pos="851"/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6.     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Perez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C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. Technological revolutions and techno-economic paradigms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Pr="00D10C8B">
        <w:rPr>
          <w:rFonts w:ascii="Times New Roman" w:eastAsia="Times New Roman" w:hAnsi="Times New Roman" w:cs="Times New Roman"/>
          <w:i/>
          <w:sz w:val="24"/>
          <w:lang w:val="en-US" w:eastAsia="ru-RU"/>
        </w:rPr>
        <w:t>Cambridge Journal of Economics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, 2010, no. 34, pp. </w:t>
      </w:r>
      <w:r w:rsidRPr="00D10C8B">
        <w:rPr>
          <w:rFonts w:ascii="Times New Roman" w:eastAsia="Times New Roman" w:hAnsi="Times New Roman" w:cs="Times New Roman"/>
          <w:sz w:val="24"/>
          <w:lang w:val="en-US" w:eastAsia="ru-RU"/>
        </w:rPr>
        <w:t>185-202.</w:t>
      </w:r>
    </w:p>
    <w:p w:rsidR="00D546F6" w:rsidRPr="004657EF" w:rsidRDefault="00D546F6" w:rsidP="00D546F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7.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 w:rsid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Schwab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K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T</w:t>
      </w:r>
      <w:r w:rsidR="004657EF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he Fourth Industrial Revolution.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4657EF" w:rsidRPr="00D546F6">
        <w:rPr>
          <w:rFonts w:ascii="Times New Roman" w:eastAsia="Times New Roman" w:hAnsi="Times New Roman" w:cs="Times New Roman"/>
          <w:sz w:val="24"/>
          <w:lang w:val="en-US" w:eastAsia="ru-RU"/>
        </w:rPr>
        <w:t>Ginebra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World Economic Forum, 2016</w:t>
      </w:r>
      <w:r w:rsidR="004657EF">
        <w:rPr>
          <w:rFonts w:ascii="Times New Roman" w:eastAsia="Times New Roman" w:hAnsi="Times New Roman" w:cs="Times New Roman"/>
          <w:sz w:val="24"/>
          <w:lang w:val="en-US" w:eastAsia="ru-RU"/>
        </w:rPr>
        <w:t>, 172 p.</w:t>
      </w:r>
    </w:p>
    <w:p w:rsidR="00D546F6" w:rsidRPr="004657EF" w:rsidRDefault="00D546F6" w:rsidP="00D546F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8.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 w:rsidR="00C95279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Speedtest Global Index 2024.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Available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at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 xml:space="preserve">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https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://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www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speedtest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net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global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index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united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arab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emirates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eastAsia="ru-RU"/>
        </w:rPr>
        <w:t xml:space="preserve"> </w:t>
      </w:r>
    </w:p>
    <w:p w:rsidR="004657EF" w:rsidRPr="004657EF" w:rsidRDefault="00D546F6" w:rsidP="00D546F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9.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 w:rsidR="00C95279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Submarine Cable Map.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https://www.submarinecablemap.com/ </w:t>
      </w:r>
    </w:p>
    <w:p w:rsidR="004657EF" w:rsidRPr="004657EF" w:rsidRDefault="00D546F6" w:rsidP="00D546F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10.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 w:rsidR="00C95279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2022.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hyperlink r:id="rId9" w:history="1">
        <w:r w:rsidR="004657EF" w:rsidRPr="004657EF">
          <w:rPr>
            <w:rStyle w:val="a4"/>
            <w:rFonts w:ascii="Times New Roman" w:eastAsia="Times New Roman" w:hAnsi="Times New Roman" w:cs="Times New Roman"/>
            <w:color w:val="000000" w:themeColor="text1"/>
            <w:sz w:val="24"/>
            <w:u w:val="none"/>
            <w:lang w:val="en-US" w:eastAsia="ru-RU"/>
          </w:rPr>
          <w:t>https://data.worldbank.org/indicator/</w:t>
        </w:r>
      </w:hyperlink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EG.ELC.ACCS.ZS? locations=AE </w:t>
      </w:r>
    </w:p>
    <w:p w:rsidR="00D546F6" w:rsidRPr="004657EF" w:rsidRDefault="00D546F6" w:rsidP="00D546F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11.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 w:rsidR="00C95279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2024.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https://data.worldbank.org/indicator/IT.NET. BBND?locations=AE </w:t>
      </w:r>
    </w:p>
    <w:p w:rsidR="00D546F6" w:rsidRPr="004657EF" w:rsidRDefault="00D546F6" w:rsidP="00D546F6">
      <w:pPr>
        <w:tabs>
          <w:tab w:val="left" w:pos="1134"/>
          <w:tab w:val="left" w:pos="198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12.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Doing Business Report 2020.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hyperlink r:id="rId10" w:history="1">
        <w:r w:rsidRPr="004657EF">
          <w:rPr>
            <w:rStyle w:val="a4"/>
            <w:rFonts w:ascii="Times New Roman" w:eastAsia="Times New Roman" w:hAnsi="Times New Roman" w:cs="Times New Roman"/>
            <w:color w:val="000000" w:themeColor="text1"/>
            <w:sz w:val="24"/>
            <w:u w:val="none"/>
            <w:lang w:val="en-US" w:eastAsia="ru-RU"/>
          </w:rPr>
          <w:t>https://archive.doingbusiness.org/</w:t>
        </w:r>
      </w:hyperlink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en/reports/global-reports/doing-business</w:t>
      </w:r>
      <w:r w:rsidR="004657EF"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-2020</w:t>
      </w:r>
    </w:p>
    <w:p w:rsidR="00D546F6" w:rsidRPr="004657EF" w:rsidRDefault="00D546F6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2E1784" w:rsidRDefault="002E1784" w:rsidP="008A1822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 xml:space="preserve">Информация об авторе </w:t>
      </w:r>
    </w:p>
    <w:p w:rsidR="002E1784" w:rsidRPr="002E1784" w:rsidRDefault="00E008FF" w:rsidP="00E008F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Calibri" w:hAnsi="Times New Roman" w:cs="Times New Roman"/>
          <w:sz w:val="24"/>
        </w:rPr>
        <w:t>Ануфриева Полина Игоревна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Ростов-на-Дону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м</w:t>
      </w:r>
      <w:r w:rsidRPr="00E008FF">
        <w:rPr>
          <w:rFonts w:ascii="Times New Roman" w:eastAsia="Calibri" w:hAnsi="Times New Roman" w:cs="Times New Roman"/>
          <w:sz w:val="24"/>
        </w:rPr>
        <w:t>агистрант</w:t>
      </w:r>
      <w:r>
        <w:rPr>
          <w:rFonts w:ascii="Times New Roman" w:eastAsia="Calibri" w:hAnsi="Times New Roman" w:cs="Times New Roman"/>
          <w:sz w:val="24"/>
        </w:rPr>
        <w:t xml:space="preserve"> 1-го курса</w:t>
      </w:r>
      <w:r w:rsidRPr="00E008FF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ФГБОУ ВО «</w:t>
      </w:r>
      <w:r w:rsidRPr="00E008FF">
        <w:rPr>
          <w:rFonts w:ascii="Times New Roman" w:eastAsia="Calibri" w:hAnsi="Times New Roman" w:cs="Times New Roman"/>
          <w:sz w:val="24"/>
        </w:rPr>
        <w:t>Ростовский государственный экономический университет (РИНХ)</w:t>
      </w:r>
      <w:r>
        <w:rPr>
          <w:rFonts w:ascii="Times New Roman" w:eastAsia="Calibri" w:hAnsi="Times New Roman" w:cs="Times New Roman"/>
          <w:sz w:val="24"/>
        </w:rPr>
        <w:t>»</w:t>
      </w:r>
      <w:r w:rsidRPr="00E008FF">
        <w:rPr>
          <w:rFonts w:ascii="Times New Roman" w:eastAsia="Calibri" w:hAnsi="Times New Roman" w:cs="Times New Roman"/>
          <w:sz w:val="24"/>
        </w:rPr>
        <w:t xml:space="preserve">, </w:t>
      </w:r>
      <w:hyperlink r:id="rId11" w:history="1">
        <w:r w:rsidRPr="008121EF">
          <w:rPr>
            <w:rStyle w:val="a4"/>
            <w:rFonts w:ascii="Times New Roman" w:eastAsia="Calibri" w:hAnsi="Times New Roman" w:cs="Times New Roman"/>
            <w:sz w:val="24"/>
          </w:rPr>
          <w:t>polinaan18@mail.ru</w:t>
        </w:r>
      </w:hyperlink>
      <w:r>
        <w:rPr>
          <w:rFonts w:ascii="Times New Roman" w:eastAsia="Calibri" w:hAnsi="Times New Roman" w:cs="Times New Roman"/>
          <w:sz w:val="24"/>
        </w:rPr>
        <w:t xml:space="preserve"> </w:t>
      </w:r>
    </w:p>
    <w:p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:rsidR="002E1784" w:rsidRPr="002E1784" w:rsidRDefault="00BC656D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Anufrieva</w:t>
      </w:r>
      <w:r w:rsidRPr="00BC656D"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Polina</w:t>
      </w:r>
      <w:r w:rsidRPr="00BC656D">
        <w:rPr>
          <w:rFonts w:ascii="Times New Roman" w:eastAsia="Calibri" w:hAnsi="Times New Roman" w:cs="Times New Roman"/>
          <w:b/>
          <w:sz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Igorevna</w:t>
      </w:r>
      <w:r w:rsidRPr="00BC656D">
        <w:rPr>
          <w:rFonts w:ascii="Times New Roman" w:eastAsia="Calibri" w:hAnsi="Times New Roman" w:cs="Times New Roman"/>
          <w:b/>
          <w:sz w:val="24"/>
        </w:rPr>
        <w:t xml:space="preserve"> </w:t>
      </w:r>
    </w:p>
    <w:p w:rsidR="002E1784" w:rsidRPr="00BC656D" w:rsidRDefault="00BC656D" w:rsidP="00BC656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BC656D">
        <w:rPr>
          <w:rFonts w:ascii="Times New Roman" w:eastAsia="Calibri" w:hAnsi="Times New Roman" w:cs="Times New Roman"/>
          <w:b/>
          <w:sz w:val="24"/>
          <w:lang w:val="en-US"/>
        </w:rPr>
        <w:t xml:space="preserve">ANALYSIS OF THE DIGITAL ACCESS IMPACT ON THE ECONOMIC ASPECTS OF SUSTAINABLE DEVELOPMENT IN THE UAE </w:t>
      </w:r>
    </w:p>
    <w:p w:rsidR="002E1784" w:rsidRPr="002E1784" w:rsidRDefault="00BC656D" w:rsidP="00BC65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  <w:r w:rsidRPr="00BC656D">
        <w:rPr>
          <w:rFonts w:ascii="Times New Roman" w:eastAsia="Times New Roman" w:hAnsi="Times New Roman" w:cs="Times New Roman"/>
          <w:b/>
          <w:sz w:val="24"/>
          <w:lang w:val="en-US" w:eastAsia="ru-RU"/>
        </w:rPr>
        <w:t>Abstract</w:t>
      </w:r>
      <w:r w:rsidRPr="00BC656D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BC656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BC656D">
        <w:rPr>
          <w:rFonts w:ascii="Times New Roman" w:eastAsia="Times New Roman" w:hAnsi="Times New Roman" w:cs="Times New Roman"/>
          <w:sz w:val="24"/>
          <w:lang w:val="en-US" w:eastAsia="ru-RU"/>
        </w:rPr>
        <w:t>The paper considers the state of access to digital economy infrastructure and identifies the key factors of digital connectivity. It also presents a comparative description of digital access, quality, connectivity and affordability in the UAE and other countries using different rankings.</w:t>
      </w:r>
      <w:r w:rsidRPr="00BC656D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</w:p>
    <w:p w:rsidR="002E1784" w:rsidRPr="00B0486F" w:rsidRDefault="0005704E" w:rsidP="000570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Key</w:t>
      </w:r>
      <w:r w:rsidRPr="0005704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words</w:t>
      </w:r>
      <w:r w:rsidRPr="0005704E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: </w:t>
      </w:r>
      <w:r w:rsidRPr="00B0486F">
        <w:rPr>
          <w:rFonts w:ascii="Times New Roman" w:eastAsia="Times New Roman" w:hAnsi="Times New Roman" w:cs="Times New Roman"/>
          <w:sz w:val="24"/>
          <w:lang w:val="en-US" w:eastAsia="ru-RU"/>
        </w:rPr>
        <w:t>business transformation; digital access; infrastructure;</w:t>
      </w:r>
      <w:r w:rsidR="00B0486F" w:rsidRPr="00B0486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B0486F">
        <w:rPr>
          <w:rFonts w:ascii="Times New Roman" w:eastAsia="Times New Roman" w:hAnsi="Times New Roman" w:cs="Times New Roman"/>
          <w:sz w:val="24"/>
          <w:lang w:val="en-US" w:eastAsia="ru-RU"/>
        </w:rPr>
        <w:t>internet connectivity.</w:t>
      </w: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</w:p>
    <w:p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2E1784" w:rsidRPr="002E1784" w:rsidRDefault="008A1822" w:rsidP="008A182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8A1822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Information </w:t>
      </w:r>
      <w:r w:rsidR="00B81A22">
        <w:rPr>
          <w:rFonts w:ascii="Times New Roman" w:eastAsia="Times New Roman" w:hAnsi="Times New Roman" w:cs="Times New Roman"/>
          <w:b/>
          <w:sz w:val="24"/>
          <w:lang w:eastAsia="ru-RU"/>
        </w:rPr>
        <w:t>about the author</w:t>
      </w:r>
    </w:p>
    <w:p w:rsidR="00B0486F" w:rsidRPr="008A1822" w:rsidRDefault="00B0486F" w:rsidP="00B0486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Anufrieva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Polina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Igorevna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Russia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Rostov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on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Don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) –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first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year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m</w:t>
      </w:r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aster’s student, Rostov State University of Economics, </w:t>
      </w:r>
      <w:hyperlink r:id="rId12" w:history="1">
        <w:r w:rsidRPr="008A1822">
          <w:rPr>
            <w:rFonts w:ascii="Times New Roman" w:hAnsi="Times New Roman" w:cs="Times New Roman"/>
            <w:sz w:val="24"/>
            <w:szCs w:val="24"/>
            <w:lang w:val="en-US" w:eastAsia="ru-RU"/>
          </w:rPr>
          <w:t>polinaan18@mail.ru</w:t>
        </w:r>
      </w:hyperlink>
      <w:r w:rsidRPr="008A182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B0486F" w:rsidRDefault="00B0486F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2E1784" w:rsidRPr="00B25660" w:rsidRDefault="00B25660" w:rsidP="008A1822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References</w:t>
      </w:r>
    </w:p>
    <w:p w:rsidR="00163606" w:rsidRPr="00163606" w:rsidRDefault="00B25660" w:rsidP="0016360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25660">
        <w:rPr>
          <w:rFonts w:ascii="Times New Roman" w:eastAsia="Times New Roman" w:hAnsi="Times New Roman" w:cs="Times New Roman"/>
          <w:sz w:val="24"/>
          <w:lang w:val="en-US" w:eastAsia="ru-RU"/>
        </w:rPr>
        <w:t xml:space="preserve">1.  </w:t>
      </w:r>
      <w:r w:rsid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</w:t>
      </w:r>
      <w:r w:rsidR="0016360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Climatescope </w:t>
      </w:r>
      <w:r w:rsidR="0016360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 xml:space="preserve">2022. Power Transition Factbook. </w:t>
      </w:r>
      <w:r w:rsidR="00163606"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BloombergNEF.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63606"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63606"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global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climatescope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org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downloads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climatescope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-2022-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power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report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en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="00163606" w:rsidRPr="00D546F6">
        <w:rPr>
          <w:rFonts w:ascii="Times New Roman" w:eastAsia="Times New Roman" w:hAnsi="Times New Roman" w:cs="Times New Roman"/>
          <w:sz w:val="24"/>
          <w:lang w:val="en-US" w:eastAsia="ru-RU"/>
        </w:rPr>
        <w:t>pdf</w:t>
      </w:r>
      <w:r w:rsidR="00163606"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163606" w:rsidRPr="00163606" w:rsidRDefault="00163606" w:rsidP="0016360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2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FTTH/B Global Ranking 2023.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Available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ftthcouncil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eu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resources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all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publications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and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assets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/1710/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ftth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b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global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>ranking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-2023 </w:t>
      </w:r>
    </w:p>
    <w:p w:rsidR="00163606" w:rsidRPr="00C95279" w:rsidRDefault="00163606" w:rsidP="00163606">
      <w:pPr>
        <w:tabs>
          <w:tab w:val="left" w:pos="1134"/>
          <w:tab w:val="left" w:pos="1560"/>
          <w:tab w:val="left" w:pos="170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3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IMD World Digital Competitiveness Ranking 2024.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imd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org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wcc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world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competitiveness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center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rankings</w:t>
      </w:r>
      <w:r w:rsidRPr="00C95279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</w:p>
    <w:p w:rsidR="00163606" w:rsidRPr="00163606" w:rsidRDefault="00163606" w:rsidP="0016360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4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Mobile Data Affordability Index 2024.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https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://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www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comparedial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com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/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mobile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data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affordability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>-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index</w:t>
      </w:r>
      <w:r w:rsidRPr="0016360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163606" w:rsidRDefault="00163606" w:rsidP="0016360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>5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Network Readiness Index Report 2023.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Available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at</w:t>
      </w:r>
      <w:r w:rsidRPr="004657EF"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hyperlink r:id="rId13" w:history="1">
        <w:r w:rsidRPr="008121EF">
          <w:rPr>
            <w:rStyle w:val="a4"/>
            <w:rFonts w:ascii="Times New Roman" w:eastAsia="Times New Roman" w:hAnsi="Times New Roman" w:cs="Times New Roman"/>
            <w:sz w:val="24"/>
            <w:lang w:val="en-US" w:eastAsia="ru-RU"/>
          </w:rPr>
          <w:t>https://networkreadinessindex.org/</w:t>
        </w:r>
      </w:hyperlink>
    </w:p>
    <w:p w:rsidR="00163606" w:rsidRPr="004657EF" w:rsidRDefault="00163606" w:rsidP="00163606">
      <w:pPr>
        <w:tabs>
          <w:tab w:val="left" w:pos="851"/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6.    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Perez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C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. Technological revolutions and techno-economic paradigms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Pr="00D10C8B">
        <w:rPr>
          <w:rFonts w:ascii="Times New Roman" w:eastAsia="Times New Roman" w:hAnsi="Times New Roman" w:cs="Times New Roman"/>
          <w:i/>
          <w:sz w:val="24"/>
          <w:lang w:val="en-US" w:eastAsia="ru-RU"/>
        </w:rPr>
        <w:t>Cambridge Journal of Economics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, 2010, no. 34, pp. </w:t>
      </w:r>
      <w:r w:rsidRPr="00D10C8B">
        <w:rPr>
          <w:rFonts w:ascii="Times New Roman" w:eastAsia="Times New Roman" w:hAnsi="Times New Roman" w:cs="Times New Roman"/>
          <w:sz w:val="24"/>
          <w:lang w:val="en-US" w:eastAsia="ru-RU"/>
        </w:rPr>
        <w:t>185-202.</w:t>
      </w:r>
    </w:p>
    <w:p w:rsidR="00163606" w:rsidRPr="004657EF" w:rsidRDefault="00163606" w:rsidP="00163606">
      <w:pPr>
        <w:tabs>
          <w:tab w:val="left" w:pos="1134"/>
          <w:tab w:val="left" w:pos="156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7.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    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Schwab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K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T</w:t>
      </w:r>
      <w:r w:rsidRPr="004657EF">
        <w:rPr>
          <w:rFonts w:ascii="Times New Roman" w:eastAsia="Times New Roman" w:hAnsi="Times New Roman" w:cs="Times New Roman"/>
          <w:i/>
          <w:sz w:val="24"/>
          <w:lang w:val="en-US" w:eastAsia="ru-RU"/>
        </w:rPr>
        <w:t>he Fourth Industrial Revolution.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Ginebra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: </w:t>
      </w:r>
      <w:r w:rsidRPr="00D546F6">
        <w:rPr>
          <w:rFonts w:ascii="Times New Roman" w:eastAsia="Times New Roman" w:hAnsi="Times New Roman" w:cs="Times New Roman"/>
          <w:sz w:val="24"/>
          <w:lang w:val="en-US" w:eastAsia="ru-RU"/>
        </w:rPr>
        <w:t>World Economic Forum, 2016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, 172 p.</w:t>
      </w:r>
    </w:p>
    <w:p w:rsidR="00163606" w:rsidRPr="00163606" w:rsidRDefault="00163606" w:rsidP="0016360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lastRenderedPageBreak/>
        <w:t>8.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Speedtest Global Index 2024.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Available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at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https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://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www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speedtest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net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global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index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/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united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arab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-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emirates</w:t>
      </w:r>
      <w:r w:rsidRPr="00163606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</w:p>
    <w:p w:rsidR="00163606" w:rsidRPr="004657EF" w:rsidRDefault="00163606" w:rsidP="0016360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9.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Submarine Cable Map.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https://www.submarinecablemap.com/ </w:t>
      </w:r>
    </w:p>
    <w:p w:rsidR="00163606" w:rsidRPr="004657EF" w:rsidRDefault="00163606" w:rsidP="0016360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10.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2022.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hyperlink r:id="rId14" w:history="1">
        <w:r w:rsidRPr="004657EF">
          <w:rPr>
            <w:rStyle w:val="a4"/>
            <w:rFonts w:ascii="Times New Roman" w:eastAsia="Times New Roman" w:hAnsi="Times New Roman" w:cs="Times New Roman"/>
            <w:color w:val="000000" w:themeColor="text1"/>
            <w:sz w:val="24"/>
            <w:u w:val="none"/>
            <w:lang w:val="en-US" w:eastAsia="ru-RU"/>
          </w:rPr>
          <w:t>https://data.worldbank.org/indicator/</w:t>
        </w:r>
      </w:hyperlink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EG.ELC.ACCS.ZS? locations=AE </w:t>
      </w:r>
    </w:p>
    <w:p w:rsidR="00163606" w:rsidRPr="004657EF" w:rsidRDefault="00163606" w:rsidP="00163606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11.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    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2024.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https://data.worldbank.org/indicator/IT.NET. BBND?locations=AE </w:t>
      </w:r>
    </w:p>
    <w:p w:rsidR="00163606" w:rsidRPr="004657EF" w:rsidRDefault="00163606" w:rsidP="00163606">
      <w:pPr>
        <w:tabs>
          <w:tab w:val="left" w:pos="1134"/>
          <w:tab w:val="left" w:pos="198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</w:pP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12. </w:t>
      </w:r>
      <w:r w:rsidRPr="004657EF">
        <w:rPr>
          <w:rFonts w:ascii="Times New Roman" w:eastAsia="Times New Roman" w:hAnsi="Times New Roman" w:cs="Times New Roman"/>
          <w:i/>
          <w:color w:val="000000" w:themeColor="text1"/>
          <w:sz w:val="24"/>
          <w:lang w:val="en-US" w:eastAsia="ru-RU"/>
        </w:rPr>
        <w:t>World Bank Doing Business Report 2020.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 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 xml:space="preserve">Available at: </w:t>
      </w:r>
      <w:hyperlink r:id="rId15" w:history="1">
        <w:r w:rsidRPr="004657EF">
          <w:rPr>
            <w:rStyle w:val="a4"/>
            <w:rFonts w:ascii="Times New Roman" w:eastAsia="Times New Roman" w:hAnsi="Times New Roman" w:cs="Times New Roman"/>
            <w:color w:val="000000" w:themeColor="text1"/>
            <w:sz w:val="24"/>
            <w:u w:val="none"/>
            <w:lang w:val="en-US" w:eastAsia="ru-RU"/>
          </w:rPr>
          <w:t>https://archive.doingbusiness.org/</w:t>
        </w:r>
      </w:hyperlink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en/reports/global-reports/doing-business</w:t>
      </w:r>
      <w:r w:rsidRPr="004657EF">
        <w:rPr>
          <w:rFonts w:ascii="Times New Roman" w:eastAsia="Times New Roman" w:hAnsi="Times New Roman" w:cs="Times New Roman"/>
          <w:color w:val="000000" w:themeColor="text1"/>
          <w:sz w:val="24"/>
          <w:lang w:val="en-US" w:eastAsia="ru-RU"/>
        </w:rPr>
        <w:t>-2020</w:t>
      </w:r>
    </w:p>
    <w:p w:rsidR="00163606" w:rsidRPr="00D546F6" w:rsidRDefault="00163606" w:rsidP="00163606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B25660" w:rsidRPr="00D546F6" w:rsidRDefault="00B25660" w:rsidP="00B25660">
      <w:pPr>
        <w:tabs>
          <w:tab w:val="left" w:pos="1134"/>
          <w:tab w:val="left" w:pos="1985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163606" w:rsidRDefault="002E1784" w:rsidP="00163606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E1784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4770" w:rsidRPr="002E1784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2E1784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0046" w:rsidRDefault="00CB0046" w:rsidP="00827E82">
      <w:pPr>
        <w:spacing w:after="0" w:line="240" w:lineRule="auto"/>
      </w:pPr>
      <w:r>
        <w:separator/>
      </w:r>
    </w:p>
  </w:endnote>
  <w:endnote w:type="continuationSeparator" w:id="1">
    <w:p w:rsidR="00CB0046" w:rsidRDefault="00CB0046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0046" w:rsidRDefault="00CB0046" w:rsidP="00827E82">
      <w:pPr>
        <w:spacing w:after="0" w:line="240" w:lineRule="auto"/>
      </w:pPr>
      <w:r>
        <w:separator/>
      </w:r>
    </w:p>
  </w:footnote>
  <w:footnote w:type="continuationSeparator" w:id="1">
    <w:p w:rsidR="00CB0046" w:rsidRDefault="00CB0046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27E82"/>
    <w:rsid w:val="0005704E"/>
    <w:rsid w:val="0006329D"/>
    <w:rsid w:val="00093BEC"/>
    <w:rsid w:val="00152276"/>
    <w:rsid w:val="00152AEA"/>
    <w:rsid w:val="00163606"/>
    <w:rsid w:val="001A37AE"/>
    <w:rsid w:val="001B5953"/>
    <w:rsid w:val="0023770C"/>
    <w:rsid w:val="00277FF9"/>
    <w:rsid w:val="002866D3"/>
    <w:rsid w:val="00287F75"/>
    <w:rsid w:val="002E1784"/>
    <w:rsid w:val="00353244"/>
    <w:rsid w:val="00387D9A"/>
    <w:rsid w:val="003D262A"/>
    <w:rsid w:val="0044325D"/>
    <w:rsid w:val="004657EF"/>
    <w:rsid w:val="00485E83"/>
    <w:rsid w:val="004B22B7"/>
    <w:rsid w:val="00590F6E"/>
    <w:rsid w:val="005F5AF9"/>
    <w:rsid w:val="00636260"/>
    <w:rsid w:val="006A316D"/>
    <w:rsid w:val="007644F1"/>
    <w:rsid w:val="00765E07"/>
    <w:rsid w:val="00787640"/>
    <w:rsid w:val="007A6421"/>
    <w:rsid w:val="007C5690"/>
    <w:rsid w:val="007D79E0"/>
    <w:rsid w:val="007E2B16"/>
    <w:rsid w:val="00827E82"/>
    <w:rsid w:val="00854770"/>
    <w:rsid w:val="0086170B"/>
    <w:rsid w:val="008921D2"/>
    <w:rsid w:val="00894D1D"/>
    <w:rsid w:val="008A12EC"/>
    <w:rsid w:val="008A1822"/>
    <w:rsid w:val="008A2F6E"/>
    <w:rsid w:val="008C75C1"/>
    <w:rsid w:val="00916BF7"/>
    <w:rsid w:val="00932199"/>
    <w:rsid w:val="00B0486F"/>
    <w:rsid w:val="00B25660"/>
    <w:rsid w:val="00B4333B"/>
    <w:rsid w:val="00B81A22"/>
    <w:rsid w:val="00BC155A"/>
    <w:rsid w:val="00BC656D"/>
    <w:rsid w:val="00C367D1"/>
    <w:rsid w:val="00C95279"/>
    <w:rsid w:val="00CA4FEE"/>
    <w:rsid w:val="00CB0046"/>
    <w:rsid w:val="00D10C8B"/>
    <w:rsid w:val="00D546F6"/>
    <w:rsid w:val="00E008FF"/>
    <w:rsid w:val="00E46C76"/>
    <w:rsid w:val="00EA4672"/>
    <w:rsid w:val="00F102B4"/>
    <w:rsid w:val="00FD5C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277F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77FF9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a"/>
    <w:uiPriority w:val="1"/>
    <w:qFormat/>
    <w:rsid w:val="0086170B"/>
    <w:pPr>
      <w:widowControl w:val="0"/>
      <w:autoSpaceDE w:val="0"/>
      <w:autoSpaceDN w:val="0"/>
      <w:spacing w:after="0" w:line="270" w:lineRule="exact"/>
      <w:jc w:val="center"/>
    </w:pPr>
    <w:rPr>
      <w:rFonts w:ascii="Times New Roman" w:eastAsia="Times New Roman" w:hAnsi="Times New Roman" w:cs="Times New Roman"/>
    </w:rPr>
  </w:style>
  <w:style w:type="character" w:styleId="a7">
    <w:name w:val="FollowedHyperlink"/>
    <w:basedOn w:val="a0"/>
    <w:uiPriority w:val="99"/>
    <w:semiHidden/>
    <w:unhideWhenUsed/>
    <w:rsid w:val="00D10C8B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etworkreadinessindex.org/" TargetMode="External"/><Relationship Id="rId13" Type="http://schemas.openxmlformats.org/officeDocument/2006/relationships/hyperlink" Target="https://networkreadinessindex.org/" TargetMode="External"/><Relationship Id="rId18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polinaan18@mail.r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olinaan18@mail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archive.doingbusiness.org/" TargetMode="External"/><Relationship Id="rId10" Type="http://schemas.openxmlformats.org/officeDocument/2006/relationships/hyperlink" Target="https://archive.doingbusiness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ata.worldbank.org/indicator/" TargetMode="External"/><Relationship Id="rId14" Type="http://schemas.openxmlformats.org/officeDocument/2006/relationships/hyperlink" Target="https://data.worldbank.org/indicator/" TargetMode="External"/></Relationships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DDA7681-4CAB-4F1A-AB1A-CF0D419A9D70}">
      <dsp:nvSpPr>
        <dsp:cNvPr id="0" name=""/>
        <dsp:cNvSpPr/>
      </dsp:nvSpPr>
      <dsp:spPr>
        <a:xfrm>
          <a:off x="1626552" y="833587"/>
          <a:ext cx="1150797" cy="19972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5067"/>
              </a:lnTo>
              <a:lnTo>
                <a:pt x="865063" y="75067"/>
              </a:lnTo>
              <a:lnTo>
                <a:pt x="865063" y="15013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A10EEC-FC66-45D1-BF6D-027FD3EAA080}">
      <dsp:nvSpPr>
        <dsp:cNvPr id="0" name=""/>
        <dsp:cNvSpPr/>
      </dsp:nvSpPr>
      <dsp:spPr>
        <a:xfrm>
          <a:off x="1580832" y="833587"/>
          <a:ext cx="91440" cy="19972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013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320AA36-6479-4424-A09B-052B10CBB023}">
      <dsp:nvSpPr>
        <dsp:cNvPr id="0" name=""/>
        <dsp:cNvSpPr/>
      </dsp:nvSpPr>
      <dsp:spPr>
        <a:xfrm>
          <a:off x="475754" y="833587"/>
          <a:ext cx="1150797" cy="199725"/>
        </a:xfrm>
        <a:custGeom>
          <a:avLst/>
          <a:gdLst/>
          <a:ahLst/>
          <a:cxnLst/>
          <a:rect l="0" t="0" r="0" b="0"/>
          <a:pathLst>
            <a:path>
              <a:moveTo>
                <a:pt x="865063" y="0"/>
              </a:moveTo>
              <a:lnTo>
                <a:pt x="865063" y="75067"/>
              </a:lnTo>
              <a:lnTo>
                <a:pt x="0" y="75067"/>
              </a:lnTo>
              <a:lnTo>
                <a:pt x="0" y="15013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BED8ED-C832-452B-AD85-6B96894AA09D}">
      <dsp:nvSpPr>
        <dsp:cNvPr id="0" name=""/>
        <dsp:cNvSpPr/>
      </dsp:nvSpPr>
      <dsp:spPr>
        <a:xfrm>
          <a:off x="1151016" y="358051"/>
          <a:ext cx="951072" cy="475536"/>
        </a:xfrm>
        <a:prstGeom prst="rect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800" b="0" i="0" u="none" strike="noStrike" kern="1200" baseline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Текст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(кегель12)</a:t>
          </a:r>
          <a:endParaRPr lang="ru-RU" sz="800" kern="120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sp:txBody>
      <dsp:txXfrm>
        <a:off x="1151016" y="358051"/>
        <a:ext cx="951072" cy="475536"/>
      </dsp:txXfrm>
    </dsp:sp>
    <dsp:sp modelId="{8FA7B3BB-A5A4-4500-942B-5163B1E47971}">
      <dsp:nvSpPr>
        <dsp:cNvPr id="0" name=""/>
        <dsp:cNvSpPr/>
      </dsp:nvSpPr>
      <dsp:spPr>
        <a:xfrm>
          <a:off x="218" y="1033312"/>
          <a:ext cx="951072" cy="475536"/>
        </a:xfrm>
        <a:prstGeom prst="rect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800" b="0" i="0" u="none" strike="noStrike" kern="1200" baseline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Текст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(кегель12)</a:t>
          </a:r>
        </a:p>
      </dsp:txBody>
      <dsp:txXfrm>
        <a:off x="218" y="1033312"/>
        <a:ext cx="951072" cy="475536"/>
      </dsp:txXfrm>
    </dsp:sp>
    <dsp:sp modelId="{2233FBE0-826B-488F-A2B2-8AD38D9ED44E}">
      <dsp:nvSpPr>
        <dsp:cNvPr id="0" name=""/>
        <dsp:cNvSpPr/>
      </dsp:nvSpPr>
      <dsp:spPr>
        <a:xfrm>
          <a:off x="1151016" y="1033312"/>
          <a:ext cx="951072" cy="475536"/>
        </a:xfrm>
        <a:prstGeom prst="rect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800" b="0" i="0" u="none" strike="noStrike" kern="1200" baseline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Текст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(кегель12)</a:t>
          </a:r>
        </a:p>
      </dsp:txBody>
      <dsp:txXfrm>
        <a:off x="1151016" y="1033312"/>
        <a:ext cx="951072" cy="475536"/>
      </dsp:txXfrm>
    </dsp:sp>
    <dsp:sp modelId="{07219735-3D6E-48E7-A6B0-9C81A5B37143}">
      <dsp:nvSpPr>
        <dsp:cNvPr id="0" name=""/>
        <dsp:cNvSpPr/>
      </dsp:nvSpPr>
      <dsp:spPr>
        <a:xfrm>
          <a:off x="2301814" y="1033312"/>
          <a:ext cx="951072" cy="475536"/>
        </a:xfrm>
        <a:prstGeom prst="rect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800" b="0" i="0" u="none" strike="noStrike" kern="1200" baseline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Текст</a:t>
          </a:r>
        </a:p>
        <a:p>
          <a:pPr marL="0" marR="0" lvl="0" indent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800" b="0" i="0" u="none" strike="noStrike" kern="1200" baseline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(кегель12)</a:t>
          </a:r>
        </a:p>
      </dsp:txBody>
      <dsp:txXfrm>
        <a:off x="2301814" y="1033312"/>
        <a:ext cx="951072" cy="475536"/>
      </dsp:txXfrm>
    </dsp:sp>
  </dsp:spTree>
</dsp:drawing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5</Pages>
  <Words>1734</Words>
  <Characters>9887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1</cp:lastModifiedBy>
  <cp:revision>45</cp:revision>
  <dcterms:created xsi:type="dcterms:W3CDTF">2022-04-20T10:54:00Z</dcterms:created>
  <dcterms:modified xsi:type="dcterms:W3CDTF">2025-05-12T14:28:00Z</dcterms:modified>
</cp:coreProperties>
</file>