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7035C6">
      <w:pPr>
        <w:wordWrap/>
        <w:jc w:val="left"/>
        <w:rPr>
          <w:rFonts w:hint="default" w:ascii="Times New Roman" w:hAnsi="Times New Roman" w:cs="Times New Roman"/>
          <w:sz w:val="24"/>
          <w:szCs w:val="24"/>
          <w:lang w:val="ru-RU"/>
        </w:rPr>
      </w:pPr>
      <w:r>
        <w:rPr>
          <w:rFonts w:hint="default" w:ascii="Times New Roman" w:hAnsi="Times New Roman" w:cs="Times New Roman"/>
          <w:sz w:val="24"/>
          <w:szCs w:val="24"/>
          <w:lang w:val="ru-RU"/>
        </w:rPr>
        <w:t>УДК 332/ББК 65.9</w:t>
      </w:r>
    </w:p>
    <w:p w14:paraId="3D6F5A2D">
      <w:pPr>
        <w:wordWrap/>
        <w:jc w:val="right"/>
        <w:rPr>
          <w:rFonts w:hint="default" w:ascii="Times New Roman" w:hAnsi="Times New Roman" w:cs="Times New Roman"/>
          <w:sz w:val="24"/>
          <w:szCs w:val="24"/>
          <w:lang w:val="ru-RU"/>
        </w:rPr>
      </w:pPr>
      <w:r>
        <w:rPr>
          <w:rFonts w:hint="default" w:ascii="Times New Roman" w:hAnsi="Times New Roman" w:cs="Times New Roman"/>
          <w:sz w:val="24"/>
          <w:szCs w:val="24"/>
          <w:lang w:val="ru-RU"/>
        </w:rPr>
        <w:t>Тихомирова В.В.</w:t>
      </w:r>
    </w:p>
    <w:p w14:paraId="721BAB33">
      <w:pPr>
        <w:jc w:val="center"/>
        <w:rPr>
          <w:rFonts w:hint="default" w:ascii="Times New Roman" w:hAnsi="Times New Roman" w:cs="Times New Roman"/>
          <w:sz w:val="24"/>
          <w:szCs w:val="24"/>
          <w:lang w:val="ru-RU"/>
        </w:rPr>
      </w:pPr>
    </w:p>
    <w:p w14:paraId="0A08620B">
      <w:pPr>
        <w:jc w:val="center"/>
        <w:rPr>
          <w:rFonts w:hint="default" w:ascii="Times New Roman" w:hAnsi="Times New Roman" w:cs="Times New Roman"/>
          <w:b/>
          <w:bCs/>
          <w:sz w:val="24"/>
          <w:szCs w:val="24"/>
          <w:lang w:val="ru-RU"/>
        </w:rPr>
      </w:pPr>
      <w:r>
        <w:rPr>
          <w:rFonts w:hint="default" w:ascii="Times New Roman" w:hAnsi="Times New Roman" w:cs="Times New Roman"/>
          <w:b/>
          <w:bCs/>
          <w:sz w:val="24"/>
          <w:szCs w:val="24"/>
          <w:lang w:val="ru-RU"/>
        </w:rPr>
        <w:t>ЧЕЛОВЕЧЕСКИЙ КАПИТАЛ КАК ФАКТОР ПОВЫШЕНИЯ ЭКОНОМИЧЕСКОГО РОСТА И УСТОЙЧИВОГО РАЗВИТИЯ СЕВЕРНЫХ ТЕРРИТОРИЙ В УСЛОВИЯХ СОВРЕМЕННЫХ ВЫЗОВОВ</w:t>
      </w:r>
    </w:p>
    <w:p w14:paraId="6FD2EADD">
      <w:pPr>
        <w:jc w:val="center"/>
        <w:rPr>
          <w:rFonts w:hint="default" w:ascii="Times New Roman" w:hAnsi="Times New Roman" w:cs="Times New Roman"/>
          <w:b/>
          <w:bCs/>
          <w:sz w:val="24"/>
          <w:szCs w:val="24"/>
          <w:lang w:val="ru-RU"/>
        </w:rPr>
      </w:pPr>
    </w:p>
    <w:p w14:paraId="125A6062">
      <w:pPr>
        <w:ind w:firstLine="708" w:firstLineChars="0"/>
        <w:jc w:val="both"/>
        <w:rPr>
          <w:rFonts w:hint="default" w:ascii="Times New Roman" w:hAnsi="Times New Roman" w:cs="Times New Roman"/>
          <w:sz w:val="24"/>
          <w:szCs w:val="24"/>
        </w:rPr>
      </w:pPr>
      <w:r>
        <w:rPr>
          <w:rFonts w:hint="default" w:ascii="Times New Roman" w:hAnsi="Times New Roman" w:cs="Times New Roman"/>
          <w:b/>
          <w:bCs/>
          <w:sz w:val="24"/>
          <w:szCs w:val="24"/>
        </w:rPr>
        <w:t>Аннотация</w:t>
      </w:r>
      <w:r>
        <w:rPr>
          <w:rFonts w:hint="default" w:ascii="Times New Roman" w:hAnsi="Times New Roman" w:cs="Times New Roman"/>
          <w:b/>
          <w:bCs/>
          <w:sz w:val="24"/>
          <w:szCs w:val="24"/>
          <w:lang w:val="ru-RU"/>
        </w:rPr>
        <w:t xml:space="preserve">. </w:t>
      </w:r>
      <w:r>
        <w:rPr>
          <w:rFonts w:hint="default" w:ascii="Times New Roman" w:hAnsi="Times New Roman" w:cs="Times New Roman"/>
          <w:sz w:val="24"/>
          <w:szCs w:val="24"/>
        </w:rPr>
        <w:t>Статья посвящена исследованию регионального экономического роста на примере северных регионов</w:t>
      </w:r>
      <w:r>
        <w:rPr>
          <w:rFonts w:hint="default" w:ascii="Times New Roman" w:hAnsi="Times New Roman" w:cs="Times New Roman"/>
          <w:sz w:val="24"/>
          <w:szCs w:val="24"/>
          <w:lang w:val="ru-RU"/>
        </w:rPr>
        <w:t>.</w:t>
      </w:r>
      <w:r>
        <w:rPr>
          <w:rFonts w:hint="default" w:ascii="Times New Roman" w:hAnsi="Times New Roman" w:cs="Times New Roman"/>
          <w:sz w:val="24"/>
          <w:szCs w:val="24"/>
        </w:rPr>
        <w:t xml:space="preserve"> </w:t>
      </w:r>
      <w:r>
        <w:rPr>
          <w:rFonts w:hint="default" w:ascii="Times New Roman" w:hAnsi="Times New Roman" w:cs="Times New Roman"/>
          <w:sz w:val="24"/>
          <w:szCs w:val="24"/>
          <w:lang w:val="ru-RU"/>
        </w:rPr>
        <w:t>П</w:t>
      </w:r>
      <w:r>
        <w:rPr>
          <w:rFonts w:hint="default" w:ascii="Times New Roman" w:hAnsi="Times New Roman" w:cs="Times New Roman"/>
          <w:sz w:val="24"/>
          <w:szCs w:val="24"/>
        </w:rPr>
        <w:t xml:space="preserve">редставлен анализ динамики валового регионального продукта, рабочей силы и основных фондов за период с 2010 по 2024 годы. </w:t>
      </w:r>
      <w:r>
        <w:rPr>
          <w:rFonts w:hint="default" w:ascii="Times New Roman" w:hAnsi="Times New Roman" w:cs="Times New Roman"/>
          <w:sz w:val="24"/>
          <w:szCs w:val="24"/>
          <w:lang w:val="ru-RU"/>
        </w:rPr>
        <w:t>П</w:t>
      </w:r>
      <w:r>
        <w:rPr>
          <w:rFonts w:hint="default" w:ascii="Times New Roman" w:hAnsi="Times New Roman" w:cs="Times New Roman"/>
          <w:sz w:val="24"/>
          <w:szCs w:val="24"/>
        </w:rPr>
        <w:t>роведена оценка влияния демографических процессов и миграционных потоков на формирование человеческого капитала</w:t>
      </w:r>
      <w:r>
        <w:rPr>
          <w:rFonts w:hint="default" w:ascii="Times New Roman" w:hAnsi="Times New Roman" w:cs="Times New Roman"/>
          <w:sz w:val="24"/>
          <w:szCs w:val="24"/>
          <w:lang w:val="ru-RU"/>
        </w:rPr>
        <w:t>.</w:t>
      </w:r>
      <w:r>
        <w:rPr>
          <w:rFonts w:hint="default" w:ascii="Times New Roman" w:hAnsi="Times New Roman" w:cs="Times New Roman"/>
          <w:sz w:val="24"/>
          <w:szCs w:val="24"/>
        </w:rPr>
        <w:t xml:space="preserve"> </w:t>
      </w:r>
    </w:p>
    <w:p w14:paraId="02C9D193">
      <w:pPr>
        <w:ind w:firstLine="708" w:firstLineChars="0"/>
        <w:jc w:val="both"/>
        <w:rPr>
          <w:rFonts w:hint="default" w:ascii="Times New Roman" w:hAnsi="Times New Roman" w:cs="Times New Roman"/>
          <w:sz w:val="24"/>
          <w:szCs w:val="24"/>
          <w:lang w:val="ru-RU"/>
        </w:rPr>
      </w:pPr>
    </w:p>
    <w:p w14:paraId="73A5A93B">
      <w:pPr>
        <w:ind w:firstLine="708" w:firstLineChars="0"/>
        <w:jc w:val="both"/>
        <w:rPr>
          <w:rFonts w:hint="default" w:ascii="Times New Roman" w:hAnsi="Times New Roman" w:cs="Times New Roman"/>
          <w:sz w:val="24"/>
          <w:szCs w:val="24"/>
          <w:lang w:val="ru-RU"/>
        </w:rPr>
      </w:pPr>
      <w:r>
        <w:rPr>
          <w:rFonts w:hint="default" w:ascii="Times New Roman" w:hAnsi="Times New Roman" w:cs="Times New Roman"/>
          <w:b/>
          <w:bCs/>
          <w:color w:val="auto"/>
          <w:sz w:val="24"/>
          <w:szCs w:val="24"/>
          <w:lang w:val="ru-RU"/>
        </w:rPr>
        <w:t>Ключевые слова</w:t>
      </w:r>
      <w:r>
        <w:rPr>
          <w:rFonts w:hint="default" w:ascii="Times New Roman" w:hAnsi="Times New Roman" w:cs="Times New Roman"/>
          <w:sz w:val="24"/>
          <w:szCs w:val="24"/>
          <w:lang w:val="ru-RU"/>
        </w:rPr>
        <w:t>: Экономический рост, северные регионы, факторы экономического роста, человеческий капитал, валовый региональный продукт, основные фонды.</w:t>
      </w:r>
    </w:p>
    <w:p w14:paraId="39FABC4B">
      <w:pPr>
        <w:ind w:firstLine="708" w:firstLineChars="0"/>
        <w:jc w:val="both"/>
        <w:rPr>
          <w:rFonts w:hint="default" w:ascii="Times New Roman" w:hAnsi="Times New Roman" w:cs="Times New Roman"/>
          <w:sz w:val="24"/>
          <w:szCs w:val="24"/>
        </w:rPr>
      </w:pPr>
    </w:p>
    <w:p w14:paraId="171A86F5">
      <w:pPr>
        <w:ind w:firstLine="708" w:firstLineChars="0"/>
        <w:jc w:val="both"/>
        <w:rPr>
          <w:rFonts w:hint="default" w:ascii="Times New Roman" w:hAnsi="Times New Roman" w:cs="Times New Roman"/>
          <w:sz w:val="24"/>
          <w:szCs w:val="24"/>
        </w:rPr>
      </w:pPr>
      <w:r>
        <w:rPr>
          <w:rFonts w:hint="default" w:ascii="Times New Roman" w:hAnsi="Times New Roman" w:cs="Times New Roman"/>
          <w:sz w:val="24"/>
          <w:szCs w:val="24"/>
        </w:rPr>
        <w:t>В последние годы исследование экономики северных регионов России приобретает особую значимость. Эти территории обладают огромным ресурсным потенциалом, который может стать основой для устойчивого развития всей страны. Однако суровые климатические условия, удаленность от основных экономических центров и высокие издержки производства создают значительные препятствия для экономического роста данных регионов.</w:t>
      </w:r>
    </w:p>
    <w:p w14:paraId="39053327">
      <w:pPr>
        <w:ind w:firstLine="708"/>
        <w:jc w:val="both"/>
        <w:rPr>
          <w:rFonts w:hint="default" w:ascii="Times New Roman" w:hAnsi="Times New Roman" w:cs="Times New Roman"/>
          <w:sz w:val="24"/>
          <w:szCs w:val="24"/>
        </w:rPr>
      </w:pPr>
      <w:r>
        <w:rPr>
          <w:rFonts w:hint="default" w:ascii="Times New Roman" w:hAnsi="Times New Roman" w:cs="Times New Roman"/>
          <w:sz w:val="24"/>
          <w:szCs w:val="24"/>
        </w:rPr>
        <w:t>Современная экономическая ситуация характеризуется наличием целого ряда вызовов, оказывающих существенное влияние на развитие северных регионов. Пандемия COVID-19 привела к разрыву логистических цепочек и снижению деловой активности, что особенно болезненно отразилось на  территориях с ограниченной транспортной доступностью. Введение экономических санкций против России усугубило положение северных регионов, ориентированных на экспорт сырьевых ресурсов. Начало специальной военной операции создало дополнительные сложности, связанные с перестройкой экономических связей и необходимостью адаптации к новым геополитическим реалиям. В этих условиях традиционные модели экономического развития северных территорий требуют существенной корректировки.</w:t>
      </w:r>
    </w:p>
    <w:p w14:paraId="2F087B52">
      <w:pPr>
        <w:ind w:firstLine="708"/>
        <w:jc w:val="both"/>
        <w:rPr>
          <w:rFonts w:hint="default" w:ascii="Times New Roman" w:hAnsi="Times New Roman" w:cs="Times New Roman"/>
          <w:sz w:val="24"/>
          <w:szCs w:val="24"/>
        </w:rPr>
      </w:pPr>
      <w:r>
        <w:rPr>
          <w:rFonts w:hint="default" w:ascii="Times New Roman" w:hAnsi="Times New Roman" w:cs="Times New Roman"/>
          <w:sz w:val="24"/>
          <w:szCs w:val="24"/>
        </w:rPr>
        <w:t>При анализе экономического роста северных регионов ключевое значение имеет обоснованный выбор факторов производства. Традиционные факторы – труд и капитал – безусловно сохраняют свою значимость, однако в современных условиях их влияние трансформируется. Трудовые ресурсы северных регионов характеризуются не только количественными, но и качественными параметрами, что обусловливает необходимость учета человеческого капитала как самостоятельного фактора производства. Человеческий капитал включает в себя образование, профессиональные навыки, здоровье и другие качественные характеристики рабочей силы, которые непосредственно влияют на производительность труда. В условиях северных регионов, где наблюдается отток населения и старение кадров, качество человеческого капитала приобретает особую значимость для обеспечения устойчивого экономического роста. Это подтверждается исследованиями С.А. Поповой, которая рассматривает человеческий капитал как ключевой фактор экономической безопасности [</w:t>
      </w:r>
      <w:r>
        <w:rPr>
          <w:rFonts w:hint="default" w:ascii="Times New Roman" w:hAnsi="Times New Roman" w:cs="Times New Roman"/>
          <w:sz w:val="24"/>
          <w:szCs w:val="24"/>
          <w:lang w:val="ru-RU"/>
        </w:rPr>
        <w:t>1</w:t>
      </w:r>
      <w:r>
        <w:rPr>
          <w:rFonts w:hint="default" w:ascii="Times New Roman" w:hAnsi="Times New Roman" w:cs="Times New Roman"/>
          <w:sz w:val="24"/>
          <w:szCs w:val="24"/>
        </w:rPr>
        <w:t>]. Учитывая специфику северных регионов, в нашем исследовании особое внимание уделяется взаимосвязи между инвестициями в человеческий капитал и динамикой экономического роста.</w:t>
      </w:r>
    </w:p>
    <w:p w14:paraId="1C834DA6">
      <w:pPr>
        <w:jc w:val="both"/>
        <w:rPr>
          <w:rFonts w:hint="default" w:ascii="Times New Roman" w:hAnsi="Times New Roman" w:cs="Times New Roman"/>
          <w:sz w:val="24"/>
          <w:szCs w:val="24"/>
          <w:lang w:val="ru-RU"/>
        </w:rPr>
      </w:pPr>
      <w:r>
        <w:rPr>
          <w:rFonts w:hint="default" w:ascii="Times New Roman" w:hAnsi="Times New Roman" w:cs="Times New Roman"/>
          <w:b/>
          <w:bCs/>
          <w:sz w:val="24"/>
          <w:szCs w:val="24"/>
          <w:lang w:val="ru-RU"/>
        </w:rPr>
        <w:tab/>
      </w:r>
      <w:r>
        <w:rPr>
          <w:rFonts w:hint="default" w:ascii="Times New Roman" w:hAnsi="Times New Roman" w:cs="Times New Roman"/>
          <w:sz w:val="24"/>
          <w:szCs w:val="24"/>
        </w:rPr>
        <w:t>Методологической основой настоящего исследования выступает подход Эдварда Денисона к анализу источников экономического роста, который позволяет выделить вклад отдельных факторов в общую динамику экономического развития.</w:t>
      </w:r>
      <w:r>
        <w:rPr>
          <w:rFonts w:hint="default" w:ascii="Times New Roman" w:hAnsi="Times New Roman" w:cs="Times New Roman"/>
          <w:sz w:val="24"/>
          <w:szCs w:val="24"/>
          <w:lang w:val="ru-RU"/>
        </w:rPr>
        <w:t xml:space="preserve"> </w:t>
      </w:r>
      <w:r>
        <w:rPr>
          <w:rFonts w:hint="default" w:ascii="Times New Roman" w:hAnsi="Times New Roman" w:cs="Times New Roman"/>
          <w:sz w:val="24"/>
          <w:szCs w:val="24"/>
        </w:rPr>
        <w:t>Данный подход предполагает декомпозицию экономического роста на составляющие, связанные с количественным изменением факторов производства и ростом их качественных характеристик [</w:t>
      </w:r>
      <w:r>
        <w:rPr>
          <w:rFonts w:hint="default" w:ascii="Times New Roman" w:hAnsi="Times New Roman" w:cs="Times New Roman"/>
          <w:sz w:val="24"/>
          <w:szCs w:val="24"/>
          <w:lang w:val="ru-RU"/>
        </w:rPr>
        <w:t>2</w:t>
      </w:r>
      <w:r>
        <w:rPr>
          <w:rFonts w:hint="default" w:ascii="Times New Roman" w:hAnsi="Times New Roman" w:cs="Times New Roman"/>
          <w:sz w:val="24"/>
          <w:szCs w:val="24"/>
        </w:rPr>
        <w:t>]. Особое внимание в методологии Денисона уделяется оценке вклада человеческого капитала, что представляется особенно актуальным для северных регионов России, где качество трудовых ресурсов играет определяющую роль в условиях суровых природно-климатических услови</w:t>
      </w:r>
      <w:r>
        <w:rPr>
          <w:rFonts w:hint="default" w:ascii="Times New Roman" w:hAnsi="Times New Roman" w:cs="Times New Roman"/>
          <w:sz w:val="24"/>
          <w:szCs w:val="24"/>
          <w:lang w:val="ru-RU"/>
        </w:rPr>
        <w:t>ях. Рассмотрим</w:t>
      </w:r>
      <w:r>
        <w:rPr>
          <w:rFonts w:hint="default" w:ascii="Times New Roman" w:hAnsi="Times New Roman" w:cs="Times New Roman"/>
          <w:sz w:val="24"/>
          <w:szCs w:val="24"/>
        </w:rPr>
        <w:t xml:space="preserve"> комплексный анализ динамики валового регионального продукта, рабочей силы и основных фондов в сопоставимых ценах за период с 2010 по 2024 годы </w:t>
      </w:r>
      <w:r>
        <w:rPr>
          <w:rFonts w:hint="default" w:ascii="Times New Roman" w:hAnsi="Times New Roman" w:cs="Times New Roman"/>
          <w:sz w:val="24"/>
          <w:szCs w:val="24"/>
          <w:lang w:val="ru-RU"/>
        </w:rPr>
        <w:t>(таб.1)</w:t>
      </w:r>
      <w:r>
        <w:rPr>
          <w:rFonts w:hint="default" w:ascii="Times New Roman" w:hAnsi="Times New Roman" w:cs="Times New Roman"/>
          <w:sz w:val="24"/>
          <w:szCs w:val="24"/>
        </w:rPr>
        <w:t>.</w:t>
      </w:r>
      <w:r>
        <w:rPr>
          <w:rFonts w:hint="default" w:ascii="Times New Roman" w:hAnsi="Times New Roman" w:cs="Times New Roman"/>
          <w:sz w:val="24"/>
          <w:szCs w:val="24"/>
          <w:lang w:val="ru-RU"/>
        </w:rPr>
        <w:tab/>
      </w:r>
    </w:p>
    <w:p w14:paraId="24CD6742">
      <w:pPr>
        <w:jc w:val="both"/>
        <w:rPr>
          <w:rFonts w:hint="default" w:ascii="Times New Roman" w:hAnsi="Times New Roman" w:cs="Times New Roman"/>
          <w:sz w:val="24"/>
          <w:szCs w:val="24"/>
        </w:rPr>
      </w:pPr>
      <w:r>
        <w:rPr>
          <w:rFonts w:hint="default" w:ascii="Times New Roman" w:hAnsi="Times New Roman" w:cs="Times New Roman"/>
          <w:sz w:val="24"/>
          <w:szCs w:val="24"/>
          <w:lang w:val="ru-RU"/>
        </w:rPr>
        <w:tab/>
      </w:r>
      <w:r>
        <w:rPr>
          <w:rFonts w:hint="default" w:ascii="Times New Roman" w:hAnsi="Times New Roman" w:cs="Times New Roman"/>
          <w:sz w:val="24"/>
          <w:szCs w:val="24"/>
          <w:lang w:val="ru-RU"/>
        </w:rPr>
        <w:tab/>
      </w:r>
      <w:r>
        <w:rPr>
          <w:rFonts w:hint="default" w:ascii="Times New Roman" w:hAnsi="Times New Roman" w:cs="Times New Roman"/>
          <w:sz w:val="20"/>
          <w:szCs w:val="20"/>
        </w:rPr>
        <w:t>Таблица</w:t>
      </w:r>
      <w:r>
        <w:rPr>
          <w:rFonts w:hint="default" w:ascii="Times New Roman" w:hAnsi="Times New Roman" w:cs="Times New Roman"/>
          <w:sz w:val="20"/>
          <w:szCs w:val="20"/>
          <w:lang w:val="ru-RU"/>
        </w:rPr>
        <w:t xml:space="preserve">  1</w:t>
      </w:r>
      <w:r>
        <w:rPr>
          <w:rFonts w:hint="default" w:ascii="Times New Roman" w:hAnsi="Times New Roman" w:cs="Times New Roman"/>
          <w:sz w:val="20"/>
          <w:szCs w:val="20"/>
        </w:rPr>
        <w:t xml:space="preserve"> – </w:t>
      </w:r>
      <w:r>
        <w:rPr>
          <w:rFonts w:hint="default" w:ascii="Times New Roman" w:hAnsi="Times New Roman" w:cs="Times New Roman"/>
          <w:sz w:val="20"/>
          <w:szCs w:val="20"/>
          <w:lang w:val="ru-RU"/>
        </w:rPr>
        <w:t>К</w:t>
      </w:r>
      <w:r>
        <w:rPr>
          <w:rFonts w:hint="default" w:ascii="Times New Roman" w:hAnsi="Times New Roman" w:cs="Times New Roman"/>
          <w:sz w:val="24"/>
          <w:szCs w:val="24"/>
        </w:rPr>
        <w:t xml:space="preserve">омплексный анализ динамики валового регионального продукта, рабочей силы и основных фондов в сопоставимых ценах </w:t>
      </w:r>
    </w:p>
    <w:p w14:paraId="0D13592A">
      <w:pPr>
        <w:jc w:val="center"/>
        <w:rPr>
          <w:rFonts w:hint="default" w:ascii="Times New Roman" w:hAnsi="Times New Roman" w:cs="Times New Roman"/>
          <w:sz w:val="20"/>
          <w:szCs w:val="20"/>
        </w:rPr>
      </w:pPr>
      <w:r>
        <w:rPr>
          <w:rFonts w:hint="default" w:ascii="Times New Roman" w:hAnsi="Times New Roman" w:cs="Times New Roman"/>
          <w:sz w:val="24"/>
          <w:szCs w:val="24"/>
        </w:rPr>
        <w:t>за период с 2010 по 2024 годы.</w:t>
      </w:r>
    </w:p>
    <w:tbl>
      <w:tblPr>
        <w:tblStyle w:val="8"/>
        <w:tblW w:w="10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7"/>
        <w:gridCol w:w="2551"/>
        <w:gridCol w:w="2694"/>
        <w:gridCol w:w="2268"/>
      </w:tblGrid>
      <w:tr w14:paraId="156EE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783BD580">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Регион</w:t>
            </w:r>
          </w:p>
        </w:tc>
        <w:tc>
          <w:tcPr>
            <w:tcW w:w="2551" w:type="dxa"/>
            <w:vAlign w:val="center"/>
          </w:tcPr>
          <w:p w14:paraId="78D6E326">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Δ ВРП, %</w:t>
            </w:r>
          </w:p>
        </w:tc>
        <w:tc>
          <w:tcPr>
            <w:tcW w:w="2694" w:type="dxa"/>
            <w:vAlign w:val="center"/>
          </w:tcPr>
          <w:p w14:paraId="3F1E1BA1">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Δ Рабочей силы, %</w:t>
            </w:r>
          </w:p>
        </w:tc>
        <w:tc>
          <w:tcPr>
            <w:tcW w:w="2268" w:type="dxa"/>
            <w:vAlign w:val="center"/>
          </w:tcPr>
          <w:p w14:paraId="61922F21">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Δ Основных фондов, %</w:t>
            </w:r>
          </w:p>
        </w:tc>
      </w:tr>
      <w:tr w14:paraId="3CF95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35D199DF">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 xml:space="preserve">Россия </w:t>
            </w:r>
          </w:p>
        </w:tc>
        <w:tc>
          <w:tcPr>
            <w:tcW w:w="2551" w:type="dxa"/>
            <w:vAlign w:val="center"/>
          </w:tcPr>
          <w:p w14:paraId="557A81C5">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+239,0</w:t>
            </w:r>
          </w:p>
        </w:tc>
        <w:tc>
          <w:tcPr>
            <w:tcW w:w="2694" w:type="dxa"/>
            <w:vAlign w:val="center"/>
          </w:tcPr>
          <w:p w14:paraId="05569374">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+0,3</w:t>
            </w:r>
          </w:p>
        </w:tc>
        <w:tc>
          <w:tcPr>
            <w:tcW w:w="2268" w:type="dxa"/>
            <w:vAlign w:val="center"/>
          </w:tcPr>
          <w:p w14:paraId="1932B95D">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+356,1</w:t>
            </w:r>
          </w:p>
        </w:tc>
      </w:tr>
      <w:tr w14:paraId="2B318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5086FE9E">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Север</w:t>
            </w:r>
          </w:p>
        </w:tc>
        <w:tc>
          <w:tcPr>
            <w:tcW w:w="2551" w:type="dxa"/>
            <w:vAlign w:val="center"/>
          </w:tcPr>
          <w:p w14:paraId="7002AD3F">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+336,7</w:t>
            </w:r>
          </w:p>
        </w:tc>
        <w:tc>
          <w:tcPr>
            <w:tcW w:w="2694" w:type="dxa"/>
            <w:vAlign w:val="center"/>
          </w:tcPr>
          <w:p w14:paraId="2C2BE32E">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–1,0</w:t>
            </w:r>
          </w:p>
        </w:tc>
        <w:tc>
          <w:tcPr>
            <w:tcW w:w="2268" w:type="dxa"/>
            <w:vAlign w:val="center"/>
          </w:tcPr>
          <w:p w14:paraId="1C8CAE75">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+265,3</w:t>
            </w:r>
          </w:p>
        </w:tc>
      </w:tr>
      <w:tr w14:paraId="7E21B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3EBE0ED2">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Республика Карелия</w:t>
            </w:r>
          </w:p>
        </w:tc>
        <w:tc>
          <w:tcPr>
            <w:tcW w:w="2551" w:type="dxa"/>
            <w:vAlign w:val="center"/>
          </w:tcPr>
          <w:p w14:paraId="1D056673">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+224,6</w:t>
            </w:r>
          </w:p>
        </w:tc>
        <w:tc>
          <w:tcPr>
            <w:tcW w:w="2694" w:type="dxa"/>
            <w:vAlign w:val="center"/>
          </w:tcPr>
          <w:p w14:paraId="136535DF">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–25,5</w:t>
            </w:r>
          </w:p>
        </w:tc>
        <w:tc>
          <w:tcPr>
            <w:tcW w:w="2268" w:type="dxa"/>
            <w:vAlign w:val="center"/>
          </w:tcPr>
          <w:p w14:paraId="78B294DC">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+232,2</w:t>
            </w:r>
          </w:p>
        </w:tc>
      </w:tr>
      <w:tr w14:paraId="00B0F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435BC04B">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 xml:space="preserve">Республика Коми </w:t>
            </w:r>
          </w:p>
        </w:tc>
        <w:tc>
          <w:tcPr>
            <w:tcW w:w="2551" w:type="dxa"/>
            <w:vAlign w:val="center"/>
          </w:tcPr>
          <w:p w14:paraId="2A2B69E6">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+175,2</w:t>
            </w:r>
          </w:p>
        </w:tc>
        <w:tc>
          <w:tcPr>
            <w:tcW w:w="2694" w:type="dxa"/>
            <w:vAlign w:val="center"/>
          </w:tcPr>
          <w:p w14:paraId="585DA507">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–22,4</w:t>
            </w:r>
          </w:p>
        </w:tc>
        <w:tc>
          <w:tcPr>
            <w:tcW w:w="2268" w:type="dxa"/>
            <w:vAlign w:val="center"/>
          </w:tcPr>
          <w:p w14:paraId="5EA8B2CF">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+280,2</w:t>
            </w:r>
          </w:p>
        </w:tc>
      </w:tr>
      <w:tr w14:paraId="385EA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49E601C3">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Архангельская область</w:t>
            </w:r>
          </w:p>
        </w:tc>
        <w:tc>
          <w:tcPr>
            <w:tcW w:w="2551" w:type="dxa"/>
            <w:vAlign w:val="center"/>
          </w:tcPr>
          <w:p w14:paraId="48BBED82">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+423,7</w:t>
            </w:r>
          </w:p>
        </w:tc>
        <w:tc>
          <w:tcPr>
            <w:tcW w:w="2694" w:type="dxa"/>
            <w:vAlign w:val="center"/>
          </w:tcPr>
          <w:p w14:paraId="31032F2B">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–20,9</w:t>
            </w:r>
          </w:p>
        </w:tc>
        <w:tc>
          <w:tcPr>
            <w:tcW w:w="2268" w:type="dxa"/>
            <w:vAlign w:val="center"/>
          </w:tcPr>
          <w:p w14:paraId="756D8784">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+427,9</w:t>
            </w:r>
          </w:p>
        </w:tc>
      </w:tr>
      <w:tr w14:paraId="095C8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37A48DE7">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Мурманская область</w:t>
            </w:r>
          </w:p>
        </w:tc>
        <w:tc>
          <w:tcPr>
            <w:tcW w:w="2551" w:type="dxa"/>
            <w:vAlign w:val="center"/>
          </w:tcPr>
          <w:p w14:paraId="34E868B2">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+392,5</w:t>
            </w:r>
          </w:p>
        </w:tc>
        <w:tc>
          <w:tcPr>
            <w:tcW w:w="2694" w:type="dxa"/>
            <w:vAlign w:val="center"/>
          </w:tcPr>
          <w:p w14:paraId="598D7F5F">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–25,2</w:t>
            </w:r>
          </w:p>
        </w:tc>
        <w:tc>
          <w:tcPr>
            <w:tcW w:w="2268" w:type="dxa"/>
            <w:vAlign w:val="center"/>
          </w:tcPr>
          <w:p w14:paraId="0F87EA2C">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+321,7</w:t>
            </w:r>
          </w:p>
        </w:tc>
      </w:tr>
      <w:tr w14:paraId="33780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372355B2">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Ненецкий АО</w:t>
            </w:r>
          </w:p>
        </w:tc>
        <w:tc>
          <w:tcPr>
            <w:tcW w:w="2551" w:type="dxa"/>
            <w:vAlign w:val="center"/>
          </w:tcPr>
          <w:p w14:paraId="2C437234">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+675,6</w:t>
            </w:r>
          </w:p>
        </w:tc>
        <w:tc>
          <w:tcPr>
            <w:tcW w:w="2694" w:type="dxa"/>
            <w:vAlign w:val="center"/>
          </w:tcPr>
          <w:p w14:paraId="02935040">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w:t>
            </w:r>
          </w:p>
        </w:tc>
        <w:tc>
          <w:tcPr>
            <w:tcW w:w="2268" w:type="dxa"/>
            <w:vAlign w:val="center"/>
          </w:tcPr>
          <w:p w14:paraId="2E2ABBED">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+271,7</w:t>
            </w:r>
          </w:p>
        </w:tc>
      </w:tr>
      <w:tr w14:paraId="2FBEF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5085F086">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Ханты-Мансийский АО</w:t>
            </w:r>
          </w:p>
        </w:tc>
        <w:tc>
          <w:tcPr>
            <w:tcW w:w="2551" w:type="dxa"/>
            <w:vAlign w:val="center"/>
          </w:tcPr>
          <w:p w14:paraId="3DFC4DA7">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+249,3</w:t>
            </w:r>
          </w:p>
        </w:tc>
        <w:tc>
          <w:tcPr>
            <w:tcW w:w="2694" w:type="dxa"/>
            <w:vAlign w:val="center"/>
          </w:tcPr>
          <w:p w14:paraId="7374567A">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w:t>
            </w:r>
          </w:p>
        </w:tc>
        <w:tc>
          <w:tcPr>
            <w:tcW w:w="2268" w:type="dxa"/>
            <w:vAlign w:val="center"/>
          </w:tcPr>
          <w:p w14:paraId="2CBCB5C6">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+195,0</w:t>
            </w:r>
          </w:p>
        </w:tc>
      </w:tr>
      <w:tr w14:paraId="0A2DF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10C80EF1">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Ямало-Ненецкий АО</w:t>
            </w:r>
          </w:p>
        </w:tc>
        <w:tc>
          <w:tcPr>
            <w:tcW w:w="2551" w:type="dxa"/>
            <w:vAlign w:val="center"/>
          </w:tcPr>
          <w:p w14:paraId="2E7DD676">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+584,0</w:t>
            </w:r>
          </w:p>
        </w:tc>
        <w:tc>
          <w:tcPr>
            <w:tcW w:w="2694" w:type="dxa"/>
            <w:vAlign w:val="center"/>
          </w:tcPr>
          <w:p w14:paraId="654B7427">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–5,7</w:t>
            </w:r>
          </w:p>
        </w:tc>
        <w:tc>
          <w:tcPr>
            <w:tcW w:w="2268" w:type="dxa"/>
            <w:vAlign w:val="center"/>
          </w:tcPr>
          <w:p w14:paraId="27985A9C">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+293,8</w:t>
            </w:r>
          </w:p>
        </w:tc>
      </w:tr>
      <w:tr w14:paraId="406AF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6D12B24B">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Республика Саха (Якутия)</w:t>
            </w:r>
          </w:p>
        </w:tc>
        <w:tc>
          <w:tcPr>
            <w:tcW w:w="2551" w:type="dxa"/>
            <w:vAlign w:val="center"/>
          </w:tcPr>
          <w:p w14:paraId="103FDB35">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+134,6</w:t>
            </w:r>
          </w:p>
        </w:tc>
        <w:tc>
          <w:tcPr>
            <w:tcW w:w="2694" w:type="dxa"/>
            <w:vAlign w:val="center"/>
          </w:tcPr>
          <w:p w14:paraId="23C6024A">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+3,1</w:t>
            </w:r>
          </w:p>
        </w:tc>
        <w:tc>
          <w:tcPr>
            <w:tcW w:w="2268" w:type="dxa"/>
            <w:vAlign w:val="center"/>
          </w:tcPr>
          <w:p w14:paraId="48F13243">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+155,5</w:t>
            </w:r>
          </w:p>
        </w:tc>
      </w:tr>
      <w:tr w14:paraId="3523D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6E74C5D2">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Камчатский край</w:t>
            </w:r>
          </w:p>
        </w:tc>
        <w:tc>
          <w:tcPr>
            <w:tcW w:w="2551" w:type="dxa"/>
            <w:vAlign w:val="center"/>
          </w:tcPr>
          <w:p w14:paraId="0947C47F">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+247,1</w:t>
            </w:r>
          </w:p>
        </w:tc>
        <w:tc>
          <w:tcPr>
            <w:tcW w:w="2694" w:type="dxa"/>
            <w:vAlign w:val="center"/>
          </w:tcPr>
          <w:p w14:paraId="1C79031D">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–12,9</w:t>
            </w:r>
          </w:p>
        </w:tc>
        <w:tc>
          <w:tcPr>
            <w:tcW w:w="2268" w:type="dxa"/>
            <w:vAlign w:val="center"/>
          </w:tcPr>
          <w:p w14:paraId="02A311D9">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+449,8</w:t>
            </w:r>
          </w:p>
        </w:tc>
      </w:tr>
      <w:tr w14:paraId="67925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6DA2C698">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Магаданская область</w:t>
            </w:r>
          </w:p>
        </w:tc>
        <w:tc>
          <w:tcPr>
            <w:tcW w:w="2551" w:type="dxa"/>
            <w:vAlign w:val="center"/>
          </w:tcPr>
          <w:p w14:paraId="39821807">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+431,0</w:t>
            </w:r>
          </w:p>
        </w:tc>
        <w:tc>
          <w:tcPr>
            <w:tcW w:w="2694" w:type="dxa"/>
            <w:vAlign w:val="center"/>
          </w:tcPr>
          <w:p w14:paraId="7DACBC46">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–18,1</w:t>
            </w:r>
          </w:p>
        </w:tc>
        <w:tc>
          <w:tcPr>
            <w:tcW w:w="2268" w:type="dxa"/>
            <w:vAlign w:val="center"/>
          </w:tcPr>
          <w:p w14:paraId="326BE0DB">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+463,1</w:t>
            </w:r>
          </w:p>
        </w:tc>
      </w:tr>
      <w:tr w14:paraId="79D56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4BB3F2ED">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Сахалинская область</w:t>
            </w:r>
          </w:p>
        </w:tc>
        <w:tc>
          <w:tcPr>
            <w:tcW w:w="2551" w:type="dxa"/>
            <w:vAlign w:val="center"/>
          </w:tcPr>
          <w:p w14:paraId="18C9D384">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+213,4</w:t>
            </w:r>
          </w:p>
        </w:tc>
        <w:tc>
          <w:tcPr>
            <w:tcW w:w="2694" w:type="dxa"/>
            <w:vAlign w:val="center"/>
          </w:tcPr>
          <w:p w14:paraId="1A5E2C10">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–5,3</w:t>
            </w:r>
          </w:p>
        </w:tc>
        <w:tc>
          <w:tcPr>
            <w:tcW w:w="2268" w:type="dxa"/>
            <w:vAlign w:val="center"/>
          </w:tcPr>
          <w:p w14:paraId="28231495">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+243,5</w:t>
            </w:r>
          </w:p>
        </w:tc>
      </w:tr>
      <w:tr w14:paraId="5C36F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735749ED">
            <w:pPr>
              <w:ind w:firstLine="0"/>
              <w:jc w:val="left"/>
              <w:rPr>
                <w:rFonts w:hint="default" w:ascii="Times New Roman" w:hAnsi="Times New Roman" w:cs="Times New Roman"/>
                <w:kern w:val="2"/>
                <w:sz w:val="20"/>
                <w:szCs w:val="20"/>
              </w:rPr>
            </w:pPr>
            <w:r>
              <w:rPr>
                <w:rFonts w:hint="default" w:ascii="Times New Roman" w:hAnsi="Times New Roman" w:cs="Times New Roman"/>
                <w:kern w:val="2"/>
                <w:sz w:val="20"/>
                <w:szCs w:val="20"/>
              </w:rPr>
              <w:t>Чукотский АО</w:t>
            </w:r>
          </w:p>
        </w:tc>
        <w:tc>
          <w:tcPr>
            <w:tcW w:w="2551" w:type="dxa"/>
            <w:vAlign w:val="center"/>
          </w:tcPr>
          <w:p w14:paraId="1622EE27">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+236,2</w:t>
            </w:r>
          </w:p>
        </w:tc>
        <w:tc>
          <w:tcPr>
            <w:tcW w:w="2694" w:type="dxa"/>
            <w:vAlign w:val="center"/>
          </w:tcPr>
          <w:p w14:paraId="0D02582B">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–6,2</w:t>
            </w:r>
          </w:p>
        </w:tc>
        <w:tc>
          <w:tcPr>
            <w:tcW w:w="2268" w:type="dxa"/>
            <w:vAlign w:val="center"/>
          </w:tcPr>
          <w:p w14:paraId="6156C96C">
            <w:pPr>
              <w:ind w:firstLine="0"/>
              <w:jc w:val="center"/>
              <w:rPr>
                <w:rFonts w:hint="default" w:ascii="Times New Roman" w:hAnsi="Times New Roman" w:cs="Times New Roman"/>
                <w:kern w:val="2"/>
                <w:sz w:val="20"/>
                <w:szCs w:val="20"/>
              </w:rPr>
            </w:pPr>
            <w:r>
              <w:rPr>
                <w:rFonts w:hint="default" w:ascii="Times New Roman" w:hAnsi="Times New Roman" w:cs="Times New Roman"/>
                <w:kern w:val="2"/>
                <w:sz w:val="20"/>
                <w:szCs w:val="20"/>
              </w:rPr>
              <w:t>+341,7</w:t>
            </w:r>
          </w:p>
        </w:tc>
      </w:tr>
      <w:tr w14:paraId="21000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47" w:type="dxa"/>
          </w:tcPr>
          <w:p w14:paraId="68C67093">
            <w:pPr>
              <w:ind w:firstLine="709"/>
              <w:jc w:val="both"/>
              <w:rPr>
                <w:rFonts w:hint="default"/>
                <w:kern w:val="2"/>
              </w:rPr>
            </w:pPr>
          </w:p>
        </w:tc>
        <w:tc>
          <w:tcPr>
            <w:tcW w:w="2551" w:type="dxa"/>
            <w:vAlign w:val="center"/>
          </w:tcPr>
          <w:p w14:paraId="52AEF1EF">
            <w:pPr>
              <w:ind w:firstLine="709"/>
              <w:jc w:val="both"/>
              <w:rPr>
                <w:rFonts w:hint="default"/>
                <w:kern w:val="2"/>
              </w:rPr>
            </w:pPr>
          </w:p>
        </w:tc>
        <w:tc>
          <w:tcPr>
            <w:tcW w:w="2694" w:type="dxa"/>
            <w:vAlign w:val="center"/>
          </w:tcPr>
          <w:p w14:paraId="368147CE">
            <w:pPr>
              <w:ind w:firstLine="709"/>
              <w:jc w:val="both"/>
              <w:rPr>
                <w:rFonts w:hint="default"/>
                <w:kern w:val="2"/>
              </w:rPr>
            </w:pPr>
          </w:p>
        </w:tc>
        <w:tc>
          <w:tcPr>
            <w:tcW w:w="2268" w:type="dxa"/>
            <w:vAlign w:val="center"/>
          </w:tcPr>
          <w:p w14:paraId="37CDE070">
            <w:pPr>
              <w:ind w:firstLine="709"/>
              <w:jc w:val="both"/>
              <w:rPr>
                <w:rFonts w:hint="default"/>
                <w:kern w:val="2"/>
              </w:rPr>
            </w:pPr>
          </w:p>
        </w:tc>
      </w:tr>
    </w:tbl>
    <w:p w14:paraId="09638270">
      <w:pPr>
        <w:ind w:left="-800" w:leftChars="-400" w:firstLine="0" w:firstLineChars="0"/>
        <w:rPr>
          <w:rFonts w:hint="default" w:ascii="Times New Roman" w:hAnsi="Times New Roman" w:cs="Times New Roman"/>
        </w:rPr>
      </w:pPr>
      <w:r>
        <w:rPr>
          <w:rFonts w:hint="default" w:ascii="Times New Roman" w:hAnsi="Times New Roman" w:cs="Times New Roman"/>
          <w:sz w:val="20"/>
          <w:szCs w:val="20"/>
          <w:lang w:val="ru-RU"/>
        </w:rPr>
        <w:t xml:space="preserve">Источник: </w:t>
      </w:r>
      <w:bookmarkStart w:id="0" w:name="_Ref195352557"/>
      <w:r>
        <w:rPr>
          <w:rFonts w:hint="default" w:ascii="Times New Roman" w:hAnsi="Times New Roman" w:cs="Times New Roman"/>
        </w:rPr>
        <w:t xml:space="preserve">Регионы России. Социально-экономические показатели // Федеральная служба </w:t>
      </w:r>
      <w:r>
        <w:rPr>
          <w:rFonts w:hint="default" w:ascii="Times New Roman" w:hAnsi="Times New Roman" w:cs="Times New Roman"/>
          <w:lang w:val="ru-RU"/>
        </w:rPr>
        <w:t>г</w:t>
      </w:r>
      <w:r>
        <w:rPr>
          <w:rFonts w:hint="default" w:ascii="Times New Roman" w:hAnsi="Times New Roman" w:cs="Times New Roman"/>
        </w:rPr>
        <w:t xml:space="preserve">осударственной статистики [Электронный ресурс]. – URL: https://www.rosstat.gov.ru/folder/210/document/13204 (дата </w:t>
      </w:r>
      <w:r>
        <w:rPr>
          <w:rFonts w:hint="default" w:ascii="Times New Roman" w:hAnsi="Times New Roman" w:cs="Times New Roman"/>
          <w:lang w:val="ru-RU"/>
        </w:rPr>
        <w:t>об</w:t>
      </w:r>
      <w:r>
        <w:rPr>
          <w:rFonts w:hint="default" w:ascii="Times New Roman" w:hAnsi="Times New Roman" w:cs="Times New Roman"/>
        </w:rPr>
        <w:t>ращения: 10.04.2025).</w:t>
      </w:r>
      <w:bookmarkEnd w:id="0"/>
    </w:p>
    <w:p w14:paraId="194B6B64">
      <w:pPr>
        <w:ind w:left="0" w:leftChars="-400" w:hanging="800" w:hangingChars="400"/>
        <w:jc w:val="both"/>
        <w:rPr>
          <w:rFonts w:hint="default" w:ascii="Times New Roman" w:hAnsi="Times New Roman" w:cs="Times New Roman"/>
          <w:sz w:val="20"/>
          <w:szCs w:val="20"/>
          <w:lang w:val="ru-RU"/>
        </w:rPr>
      </w:pPr>
    </w:p>
    <w:p w14:paraId="623BB54D">
      <w:pPr>
        <w:ind w:firstLine="708"/>
        <w:jc w:val="both"/>
        <w:rPr>
          <w:rFonts w:hint="default" w:ascii="Times New Roman" w:hAnsi="Times New Roman" w:cs="Times New Roman"/>
          <w:sz w:val="24"/>
          <w:szCs w:val="24"/>
        </w:rPr>
      </w:pPr>
      <w:r>
        <w:rPr>
          <w:rFonts w:hint="default" w:ascii="Times New Roman" w:hAnsi="Times New Roman" w:cs="Times New Roman"/>
          <w:sz w:val="24"/>
          <w:szCs w:val="24"/>
        </w:rPr>
        <w:t>Анализ экономических расчетов, представленных в таблице 1, показывает, что в период с 2010 по 2022 год наблюдается значительный рост ВРП как в целом по России (+239,0%), так и по северным регионам (+336,7%), что свидетельствует об общем экономическом развитии, хотя и с разной степенью интенсивности. При этом, в большинстве северных регионов наблюдается сокращение численности рабочей силы, что может быть обусловлено повышением производительности труда и структурными изменениями в экономике, однако в целом по России наблюдается незначительный рост (+0,3%). Рост основных фондов также является значительным как по России (+356,1%), так и по северным регионам (+265,3%), что указывает на активные инвестиционные процессы. Следует отметить, что в некоторых регионах, таких как Ненецкий и Ханты-Мансийский автономные округа, наблюдается нулевая динамика или незначительное сокращение рабочей силы, что, возможно, связано с особенностями отраслевой структуры и демографическими процессами. Влияние человеческого капитала, неявно отраженное в производственной функции Кобба-Дугласа, проявляется в повышении эффективности труда, особенно в условиях сокращения рабочей силы, что подчеркивает важность развития образования и профессиональной подготовки [</w:t>
      </w:r>
      <w:r>
        <w:rPr>
          <w:rFonts w:hint="default" w:ascii="Times New Roman" w:hAnsi="Times New Roman" w:cs="Times New Roman"/>
          <w:sz w:val="24"/>
          <w:szCs w:val="24"/>
          <w:lang w:val="ru-RU"/>
        </w:rPr>
        <w:t>3</w:t>
      </w:r>
      <w:r>
        <w:rPr>
          <w:rFonts w:hint="default" w:ascii="Times New Roman" w:hAnsi="Times New Roman" w:cs="Times New Roman"/>
          <w:sz w:val="24"/>
          <w:szCs w:val="24"/>
        </w:rPr>
        <w:t>]. Однако, несмотря на положительную динамику, северные регионы продолжают сталкиваться с проблемами, включая зависимость от добывающих отраслей, отток населения и ограниченность инфраструктуры, что требует разработки и реализации комплексной стратегии устойчивого развития.</w:t>
      </w:r>
    </w:p>
    <w:p w14:paraId="0DA1686B">
      <w:pPr>
        <w:ind w:firstLine="708"/>
        <w:jc w:val="both"/>
        <w:rPr>
          <w:rFonts w:hint="default" w:ascii="Times New Roman" w:hAnsi="Times New Roman" w:cs="Times New Roman"/>
          <w:sz w:val="24"/>
          <w:szCs w:val="24"/>
        </w:rPr>
      </w:pPr>
      <w:r>
        <w:rPr>
          <w:rFonts w:hint="default" w:ascii="Times New Roman" w:hAnsi="Times New Roman" w:cs="Times New Roman"/>
          <w:sz w:val="24"/>
          <w:szCs w:val="24"/>
        </w:rPr>
        <w:t xml:space="preserve">Анализ вклада человеческого капитала в экономический рост северных регионов позволяет выявить значимые закономерности. Несмотря на сокращение численности рабочей силы, наблюдается повышение качественных характеристик человеческого капитала, что оказывает положительное влияние на динамику валового регионального продукта. Увеличение доли занятых </w:t>
      </w:r>
      <w:r>
        <w:rPr>
          <w:rFonts w:hint="default" w:ascii="Times New Roman" w:hAnsi="Times New Roman" w:cs="Times New Roman"/>
          <w:sz w:val="24"/>
          <w:szCs w:val="24"/>
          <w:lang w:val="ru-RU"/>
        </w:rPr>
        <w:t xml:space="preserve">работников </w:t>
      </w:r>
      <w:r>
        <w:rPr>
          <w:rFonts w:hint="default" w:ascii="Times New Roman" w:hAnsi="Times New Roman" w:cs="Times New Roman"/>
          <w:sz w:val="24"/>
          <w:szCs w:val="24"/>
        </w:rPr>
        <w:t>с высшим образованием с 25% до 32% за исследуемый период свидетельствует о качественном улучшении структуры рабочей силы. Как отмечает Б.И. Алехин, повышение уровня образования населения способствует росту производительности труда и, как следствие, увеличению темпов экономического роста [</w:t>
      </w:r>
      <w:r>
        <w:rPr>
          <w:rFonts w:hint="default" w:ascii="Times New Roman" w:hAnsi="Times New Roman" w:cs="Times New Roman"/>
          <w:sz w:val="24"/>
          <w:szCs w:val="24"/>
          <w:lang w:val="ru-RU"/>
        </w:rPr>
        <w:t>4</w:t>
      </w:r>
      <w:r>
        <w:rPr>
          <w:rFonts w:hint="default" w:ascii="Times New Roman" w:hAnsi="Times New Roman" w:cs="Times New Roman"/>
          <w:sz w:val="24"/>
          <w:szCs w:val="24"/>
        </w:rPr>
        <w:t>]. В северных регионах эта взаимосвязь проявляется особенно ярко, учитывая специфику экономической деятельности в суровых природно-климатических условиях, требующих высокой квалификации работников.</w:t>
      </w:r>
    </w:p>
    <w:p w14:paraId="541D9368">
      <w:pPr>
        <w:tabs>
          <w:tab w:val="left" w:pos="1418"/>
          <w:tab w:val="left" w:pos="1701"/>
        </w:tabs>
        <w:ind w:firstLine="708"/>
        <w:jc w:val="both"/>
        <w:rPr>
          <w:rFonts w:hint="default" w:ascii="Times New Roman" w:hAnsi="Times New Roman" w:cs="Times New Roman"/>
          <w:sz w:val="24"/>
          <w:szCs w:val="24"/>
          <w:lang w:val="en-GB"/>
        </w:rPr>
      </w:pPr>
      <w:r>
        <w:rPr>
          <w:rFonts w:hint="default" w:ascii="Times New Roman" w:hAnsi="Times New Roman" w:cs="Times New Roman"/>
          <w:sz w:val="24"/>
          <w:szCs w:val="24"/>
        </w:rPr>
        <w:t>Инвестиции в человеческий капитал в северных регионах имеют свою специфику [</w:t>
      </w:r>
      <w:r>
        <w:rPr>
          <w:rFonts w:hint="default" w:ascii="Times New Roman" w:hAnsi="Times New Roman" w:cs="Times New Roman"/>
          <w:sz w:val="24"/>
          <w:szCs w:val="24"/>
          <w:lang w:val="ru-RU"/>
        </w:rPr>
        <w:t>5</w:t>
      </w:r>
      <w:r>
        <w:rPr>
          <w:rFonts w:hint="default" w:ascii="Times New Roman" w:hAnsi="Times New Roman" w:cs="Times New Roman"/>
          <w:sz w:val="24"/>
          <w:szCs w:val="24"/>
        </w:rPr>
        <w:t xml:space="preserve">]. Наблюдается тенденция к концентрации высококвалифицированных кадров в крупных городах и промышленных центрах при одновременном дефиците специалистов в отдаленных населенных пунктах. Это создает пространственную неравномерность в распределении человеческого капитала, что затрудняет его эффективное использование. Региональные различия в уровне заработной платы, качестве социальной инфраструктуры и возможностях профессионального развития определяют миграционные потоки квалифицированных кадров. Важно отметить, что в регионах с диверсифицированной экономикой вклад человеческого капитала в экономический рост выше, чем в регионах с преобладанием добывающих отраслей. Данный факт подтверждается исследованиями Д.В. Шимановского, который выявил положительную корреляцию между уровнем диверсификации экономики и эффективностью использования человеческого капитала </w:t>
      </w:r>
      <w:r>
        <w:rPr>
          <w:rFonts w:hint="default" w:ascii="Times New Roman" w:hAnsi="Times New Roman" w:cs="Times New Roman"/>
          <w:sz w:val="24"/>
          <w:szCs w:val="24"/>
          <w:lang w:val="en-GB"/>
        </w:rPr>
        <w:t>[6].</w:t>
      </w:r>
    </w:p>
    <w:p w14:paraId="5FD9142F">
      <w:pPr>
        <w:ind w:firstLine="708"/>
        <w:jc w:val="both"/>
        <w:rPr>
          <w:rFonts w:hint="default" w:ascii="Times New Roman" w:hAnsi="Times New Roman" w:cs="Times New Roman"/>
          <w:sz w:val="24"/>
          <w:szCs w:val="24"/>
        </w:rPr>
      </w:pPr>
      <w:r>
        <w:rPr>
          <w:rFonts w:hint="default" w:ascii="Times New Roman" w:hAnsi="Times New Roman" w:cs="Times New Roman"/>
          <w:sz w:val="24"/>
          <w:szCs w:val="24"/>
        </w:rPr>
        <w:t>Человеческий капитал играет решающую роль в обеспечении устойчивого экономического роста северных территорий. Повышение уровня образования и квалификации работников способствует росту производительности труда, компенсируя демографические потери. Для устойчивого развития северных регионов необходимо создавать благоприятные условия для привлечения квалифицированных кадров через повышение уровня жизни, развитие инфраструктуры и создание возможностей для профессионального роста. Важны также диверсификация экономики, поддержка малого и среднего бизнеса и совершенствование механизмов государственной поддержки с учетом региональной специфики.</w:t>
      </w:r>
    </w:p>
    <w:p w14:paraId="5031FC3B">
      <w:pPr>
        <w:ind w:firstLine="708" w:firstLineChars="0"/>
        <w:jc w:val="both"/>
        <w:rPr>
          <w:rFonts w:ascii="Times New Roman" w:hAnsi="Times New Roman" w:cs="Times New Roman"/>
          <w:sz w:val="24"/>
          <w:szCs w:val="24"/>
        </w:rPr>
      </w:pPr>
      <w:r>
        <w:rPr>
          <w:rFonts w:ascii="Times New Roman" w:hAnsi="Times New Roman" w:cs="Times New Roman"/>
          <w:sz w:val="24"/>
          <w:szCs w:val="24"/>
          <w:lang w:val="ru-RU"/>
        </w:rPr>
        <w:t>Работа</w:t>
      </w:r>
      <w:r>
        <w:rPr>
          <w:rFonts w:hint="default" w:ascii="Times New Roman" w:hAnsi="Times New Roman" w:cs="Times New Roman"/>
          <w:sz w:val="24"/>
          <w:szCs w:val="24"/>
          <w:lang w:val="ru-RU"/>
        </w:rPr>
        <w:t xml:space="preserve"> выполнена в рамках государственного задания </w:t>
      </w:r>
      <w:r>
        <w:rPr>
          <w:rFonts w:ascii="Times New Roman" w:hAnsi="Times New Roman" w:cs="Times New Roman"/>
          <w:sz w:val="24"/>
          <w:szCs w:val="24"/>
        </w:rPr>
        <w:t xml:space="preserve">"Проблемы роста экономики северных регионов в современной России". Рег. № ИКРБС: 1022041300233-5-5.2.1. Рег. № НИОКТР </w:t>
      </w:r>
      <w:r>
        <w:rPr>
          <w:rFonts w:hint="default" w:ascii="Times New Roman" w:hAnsi="Times New Roman" w:cs="Times New Roman"/>
          <w:sz w:val="24"/>
          <w:szCs w:val="24"/>
          <w:lang w:val="ru-RU"/>
        </w:rPr>
        <w:t>125013001114-9</w:t>
      </w:r>
      <w:r>
        <w:rPr>
          <w:rFonts w:ascii="Times New Roman" w:hAnsi="Times New Roman" w:cs="Times New Roman"/>
          <w:sz w:val="24"/>
          <w:szCs w:val="24"/>
        </w:rPr>
        <w:t>.</w:t>
      </w:r>
    </w:p>
    <w:p w14:paraId="515D30D1">
      <w:pPr>
        <w:jc w:val="both"/>
        <w:rPr>
          <w:rFonts w:hint="default" w:ascii="Times New Roman" w:hAnsi="Times New Roman" w:cs="Times New Roman"/>
          <w:sz w:val="24"/>
          <w:szCs w:val="24"/>
        </w:rPr>
      </w:pPr>
    </w:p>
    <w:p w14:paraId="313D927F">
      <w:pPr>
        <w:ind w:firstLine="0"/>
        <w:jc w:val="center"/>
        <w:rPr>
          <w:rFonts w:hint="default" w:ascii="Times New Roman" w:hAnsi="Times New Roman" w:cs="Times New Roman"/>
          <w:b/>
          <w:bCs/>
          <w:sz w:val="24"/>
          <w:szCs w:val="24"/>
        </w:rPr>
      </w:pPr>
      <w:r>
        <w:rPr>
          <w:rFonts w:hint="default" w:ascii="Times New Roman" w:hAnsi="Times New Roman" w:cs="Times New Roman"/>
          <w:b/>
          <w:bCs/>
          <w:sz w:val="24"/>
          <w:szCs w:val="24"/>
          <w:lang w:val="ru-RU"/>
        </w:rPr>
        <w:t>Библиографический с</w:t>
      </w:r>
      <w:r>
        <w:rPr>
          <w:rFonts w:hint="default" w:ascii="Times New Roman" w:hAnsi="Times New Roman" w:cs="Times New Roman"/>
          <w:b/>
          <w:bCs/>
          <w:sz w:val="24"/>
          <w:szCs w:val="24"/>
        </w:rPr>
        <w:t xml:space="preserve">писок </w:t>
      </w:r>
    </w:p>
    <w:p w14:paraId="4BC47B0C">
      <w:pPr>
        <w:ind w:firstLine="0"/>
        <w:jc w:val="center"/>
        <w:rPr>
          <w:rFonts w:hint="default" w:ascii="Times New Roman" w:hAnsi="Times New Roman" w:cs="Times New Roman"/>
          <w:b/>
          <w:bCs/>
          <w:sz w:val="24"/>
          <w:szCs w:val="24"/>
        </w:rPr>
      </w:pPr>
      <w:bookmarkStart w:id="7" w:name="_GoBack"/>
      <w:bookmarkEnd w:id="7"/>
    </w:p>
    <w:p w14:paraId="75394A67">
      <w:pPr>
        <w:pStyle w:val="9"/>
        <w:numPr>
          <w:ilvl w:val="0"/>
          <w:numId w:val="1"/>
        </w:numPr>
        <w:tabs>
          <w:tab w:val="left" w:pos="993"/>
        </w:tabs>
        <w:ind w:left="0" w:firstLine="709"/>
        <w:jc w:val="both"/>
        <w:rPr>
          <w:rFonts w:hint="default" w:ascii="Times New Roman" w:hAnsi="Times New Roman" w:cs="Times New Roman"/>
          <w:sz w:val="24"/>
          <w:szCs w:val="24"/>
        </w:rPr>
      </w:pPr>
      <w:bookmarkStart w:id="1" w:name="_Ref195352487"/>
      <w:r>
        <w:rPr>
          <w:rFonts w:hint="default" w:ascii="Times New Roman" w:hAnsi="Times New Roman" w:cs="Times New Roman"/>
          <w:sz w:val="24"/>
          <w:szCs w:val="24"/>
        </w:rPr>
        <w:t>Попова С.А. Человеческий капитал как фактор экономической безопасности цивилизационного развития России // Вестник Университета мировых цивилизаций. – 2021. – Т. 12. – №. 1 (30). – С. 68-76.</w:t>
      </w:r>
      <w:bookmarkEnd w:id="1"/>
    </w:p>
    <w:p w14:paraId="4D1358E1">
      <w:pPr>
        <w:pStyle w:val="9"/>
        <w:numPr>
          <w:ilvl w:val="0"/>
          <w:numId w:val="1"/>
        </w:numPr>
        <w:tabs>
          <w:tab w:val="left" w:pos="993"/>
        </w:tabs>
        <w:ind w:left="0" w:firstLine="709"/>
        <w:jc w:val="both"/>
        <w:rPr>
          <w:rFonts w:hint="default" w:ascii="Times New Roman" w:hAnsi="Times New Roman" w:cs="Times New Roman"/>
          <w:sz w:val="24"/>
          <w:szCs w:val="24"/>
        </w:rPr>
      </w:pPr>
      <w:bookmarkStart w:id="2" w:name="_Ref195352498"/>
      <w:r>
        <w:rPr>
          <w:rFonts w:hint="default" w:ascii="Times New Roman" w:hAnsi="Times New Roman" w:cs="Times New Roman"/>
          <w:sz w:val="24"/>
          <w:szCs w:val="24"/>
        </w:rPr>
        <w:t>Красова Е.В. Экономический рост, производительность и человеческий капитал: поиск механизма взаимосвязи // Азимут научных исследований: экономика и управление. – 2020. – Т. 9. – №. 3 (32). – С. 215-218.</w:t>
      </w:r>
      <w:bookmarkEnd w:id="2"/>
    </w:p>
    <w:p w14:paraId="53742CC2">
      <w:pPr>
        <w:pStyle w:val="9"/>
        <w:numPr>
          <w:ilvl w:val="0"/>
          <w:numId w:val="1"/>
        </w:numPr>
        <w:tabs>
          <w:tab w:val="left" w:pos="993"/>
        </w:tabs>
        <w:ind w:left="0" w:firstLine="709"/>
        <w:jc w:val="both"/>
        <w:rPr>
          <w:rFonts w:hint="default" w:ascii="Times New Roman" w:hAnsi="Times New Roman" w:cs="Times New Roman"/>
          <w:sz w:val="24"/>
          <w:szCs w:val="24"/>
        </w:rPr>
      </w:pPr>
      <w:bookmarkStart w:id="3" w:name="_Ref195352617"/>
      <w:r>
        <w:rPr>
          <w:rFonts w:hint="default" w:ascii="Times New Roman" w:hAnsi="Times New Roman" w:cs="Times New Roman"/>
          <w:sz w:val="24"/>
          <w:szCs w:val="24"/>
        </w:rPr>
        <w:t>Асеева А.А. Оценка региональных компонент человеческого капитала // Вестник Академии знаний. – 2024. – №. 5 (64). – С. 62-66.</w:t>
      </w:r>
      <w:bookmarkEnd w:id="3"/>
    </w:p>
    <w:p w14:paraId="19ABCBA3">
      <w:pPr>
        <w:pStyle w:val="9"/>
        <w:numPr>
          <w:ilvl w:val="0"/>
          <w:numId w:val="1"/>
        </w:numPr>
        <w:tabs>
          <w:tab w:val="left" w:pos="993"/>
        </w:tabs>
        <w:ind w:left="0" w:firstLine="709"/>
        <w:jc w:val="both"/>
        <w:rPr>
          <w:rFonts w:hint="default" w:ascii="Times New Roman" w:hAnsi="Times New Roman" w:cs="Times New Roman"/>
          <w:sz w:val="24"/>
          <w:szCs w:val="24"/>
        </w:rPr>
      </w:pPr>
      <w:bookmarkStart w:id="4" w:name="_Ref195352739"/>
      <w:r>
        <w:rPr>
          <w:rFonts w:hint="default" w:ascii="Times New Roman" w:hAnsi="Times New Roman" w:cs="Times New Roman"/>
          <w:sz w:val="24"/>
          <w:szCs w:val="24"/>
        </w:rPr>
        <w:t>Алехин Б.И. Человеческий капитал и рост региональных экономик // Пространственная экономика. – 2021. – Т. 17. – №. 2. – С. 57-80.</w:t>
      </w:r>
      <w:bookmarkEnd w:id="4"/>
    </w:p>
    <w:p w14:paraId="5F202B93">
      <w:pPr>
        <w:pStyle w:val="9"/>
        <w:numPr>
          <w:ilvl w:val="0"/>
          <w:numId w:val="1"/>
        </w:numPr>
        <w:tabs>
          <w:tab w:val="left" w:pos="993"/>
        </w:tabs>
        <w:ind w:left="0" w:firstLine="709"/>
        <w:jc w:val="both"/>
        <w:rPr>
          <w:rFonts w:hint="default" w:ascii="Times New Roman" w:hAnsi="Times New Roman" w:cs="Times New Roman"/>
          <w:sz w:val="24"/>
          <w:szCs w:val="24"/>
        </w:rPr>
      </w:pPr>
      <w:bookmarkStart w:id="5" w:name="_Ref195352745"/>
      <w:r>
        <w:rPr>
          <w:rFonts w:hint="default" w:ascii="Times New Roman" w:hAnsi="Times New Roman" w:cs="Times New Roman"/>
          <w:sz w:val="24"/>
          <w:szCs w:val="24"/>
        </w:rPr>
        <w:t>Крюков В.А., Коломак Е.А. Пространственное развитие России: основные проблемы и подходы к их преодолению // Научные труды Вольного экономического общества России. – 2021. – Т. 227. – №. 1. – С. 92-114.</w:t>
      </w:r>
      <w:bookmarkEnd w:id="5"/>
    </w:p>
    <w:p w14:paraId="2EAF7CB4">
      <w:pPr>
        <w:pStyle w:val="9"/>
        <w:numPr>
          <w:ilvl w:val="0"/>
          <w:numId w:val="1"/>
        </w:numPr>
        <w:tabs>
          <w:tab w:val="left" w:pos="993"/>
        </w:tabs>
        <w:ind w:left="0" w:firstLine="709"/>
        <w:jc w:val="both"/>
        <w:rPr>
          <w:rFonts w:hint="default" w:ascii="Times New Roman" w:hAnsi="Times New Roman" w:cs="Times New Roman"/>
          <w:sz w:val="24"/>
          <w:szCs w:val="24"/>
        </w:rPr>
      </w:pPr>
      <w:bookmarkStart w:id="6" w:name="_Ref195352756"/>
      <w:r>
        <w:rPr>
          <w:rFonts w:hint="default" w:ascii="Times New Roman" w:hAnsi="Times New Roman" w:cs="Times New Roman"/>
          <w:sz w:val="24"/>
          <w:szCs w:val="24"/>
        </w:rPr>
        <w:t>Шимановский Д.В. Инновации как фактор экономического роста регионов России: эконометрический анализ // Вестник Пермского университета. Серия: Экономика. – 2022. – Т. 17. – №. 2. – С. 145-160.</w:t>
      </w:r>
      <w:bookmarkEnd w:id="6"/>
    </w:p>
    <w:p w14:paraId="09751E77">
      <w:pPr>
        <w:pStyle w:val="9"/>
        <w:numPr>
          <w:ilvl w:val="0"/>
          <w:numId w:val="0"/>
        </w:numPr>
        <w:tabs>
          <w:tab w:val="left" w:pos="993"/>
        </w:tabs>
        <w:contextualSpacing/>
        <w:jc w:val="both"/>
        <w:rPr>
          <w:rFonts w:hint="default" w:ascii="Times New Roman" w:hAnsi="Times New Roman" w:cs="Times New Roman"/>
          <w:sz w:val="24"/>
          <w:szCs w:val="24"/>
        </w:rPr>
      </w:pPr>
    </w:p>
    <w:p w14:paraId="10CB2884">
      <w:pPr>
        <w:jc w:val="center"/>
        <w:rPr>
          <w:rFonts w:hint="default" w:ascii="Times New Roman" w:hAnsi="Times New Roman" w:cs="Times New Roman"/>
          <w:b/>
          <w:sz w:val="24"/>
          <w:szCs w:val="24"/>
        </w:rPr>
      </w:pPr>
      <w:r>
        <w:rPr>
          <w:rFonts w:hint="default" w:ascii="Times New Roman" w:hAnsi="Times New Roman" w:cs="Times New Roman"/>
          <w:b/>
          <w:sz w:val="24"/>
          <w:szCs w:val="24"/>
        </w:rPr>
        <w:t>Информация об авторе</w:t>
      </w:r>
    </w:p>
    <w:p w14:paraId="0C9DFF69">
      <w:pPr>
        <w:jc w:val="center"/>
        <w:rPr>
          <w:rFonts w:hint="default" w:ascii="Times New Roman" w:hAnsi="Times New Roman" w:cs="Times New Roman"/>
          <w:b/>
          <w:sz w:val="24"/>
          <w:szCs w:val="24"/>
        </w:rPr>
      </w:pPr>
    </w:p>
    <w:p w14:paraId="5527BA3B">
      <w:pPr>
        <w:jc w:val="both"/>
        <w:rPr>
          <w:rFonts w:hint="default" w:ascii="Times New Roman" w:hAnsi="Times New Roman" w:cs="Times New Roman"/>
          <w:sz w:val="24"/>
          <w:szCs w:val="24"/>
        </w:rPr>
      </w:pPr>
      <w:r>
        <w:rPr>
          <w:rFonts w:hint="default" w:ascii="Times New Roman" w:hAnsi="Times New Roman" w:cs="Times New Roman"/>
          <w:b/>
          <w:sz w:val="24"/>
          <w:szCs w:val="24"/>
        </w:rPr>
        <w:tab/>
      </w:r>
      <w:r>
        <w:rPr>
          <w:rFonts w:hint="default" w:ascii="Times New Roman" w:hAnsi="Times New Roman" w:cs="Times New Roman"/>
          <w:b/>
          <w:sz w:val="24"/>
          <w:szCs w:val="24"/>
        </w:rPr>
        <w:t>Тихомирова Валентина Валентиновна (Россия, Сыктывкар)</w:t>
      </w:r>
      <w:r>
        <w:rPr>
          <w:rFonts w:hint="default" w:ascii="Times New Roman" w:hAnsi="Times New Roman" w:cs="Times New Roman"/>
          <w:sz w:val="24"/>
          <w:szCs w:val="24"/>
        </w:rPr>
        <w:t xml:space="preserve"> – старший научный сотрудник, к.э.н., Институт социально-экономических и энергетических проблем Севера Коми научного центра Уральского отделения Российской Академии наук (ИСЭиЭПС Коми НЦ УрО РАН) (167000 Республика Коми, г.Сыктывкар, Коммунистическая, 26, ИСЭиЭПС Коми НЦ УрО РАН);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"https://e.mail.ru/compose/?mailto=mailto%3ae%2dmail%3atikhomirova@iespn.komisc.ru" \t "_blank" </w:instrText>
      </w:r>
      <w:r>
        <w:rPr>
          <w:rFonts w:hint="default" w:ascii="Times New Roman" w:hAnsi="Times New Roman" w:cs="Times New Roman"/>
          <w:sz w:val="24"/>
          <w:szCs w:val="24"/>
        </w:rPr>
        <w:fldChar w:fldCharType="separate"/>
      </w:r>
      <w:r>
        <w:rPr>
          <w:rStyle w:val="5"/>
          <w:rFonts w:hint="default" w:ascii="Times New Roman" w:hAnsi="Times New Roman" w:cs="Times New Roman"/>
          <w:color w:val="auto"/>
          <w:sz w:val="24"/>
          <w:szCs w:val="24"/>
          <w:u w:val="none"/>
        </w:rPr>
        <w:t>e-mail:tikhomirova@iespn.komisc.ru</w:t>
      </w:r>
      <w:r>
        <w:rPr>
          <w:rStyle w:val="5"/>
          <w:rFonts w:hint="default" w:ascii="Times New Roman" w:hAnsi="Times New Roman" w:cs="Times New Roman"/>
          <w:color w:val="auto"/>
          <w:sz w:val="24"/>
          <w:szCs w:val="24"/>
          <w:u w:val="none"/>
        </w:rPr>
        <w:fldChar w:fldCharType="end"/>
      </w:r>
      <w:r>
        <w:rPr>
          <w:rFonts w:hint="default" w:ascii="Times New Roman" w:hAnsi="Times New Roman" w:cs="Times New Roman"/>
          <w:sz w:val="24"/>
          <w:szCs w:val="24"/>
        </w:rPr>
        <w:t>).</w:t>
      </w:r>
    </w:p>
    <w:p w14:paraId="1CE5EC41">
      <w:pPr>
        <w:pStyle w:val="9"/>
        <w:numPr>
          <w:ilvl w:val="0"/>
          <w:numId w:val="0"/>
        </w:numPr>
        <w:tabs>
          <w:tab w:val="left" w:pos="993"/>
        </w:tabs>
        <w:contextualSpacing/>
        <w:jc w:val="both"/>
        <w:rPr>
          <w:rFonts w:hint="default" w:ascii="Times New Roman" w:hAnsi="Times New Roman" w:cs="Times New Roman"/>
          <w:sz w:val="24"/>
          <w:szCs w:val="24"/>
        </w:rPr>
      </w:pPr>
    </w:p>
    <w:p w14:paraId="75B2BAEF">
      <w:pPr>
        <w:pStyle w:val="9"/>
        <w:numPr>
          <w:ilvl w:val="0"/>
          <w:numId w:val="0"/>
        </w:numPr>
        <w:tabs>
          <w:tab w:val="left" w:pos="993"/>
        </w:tabs>
        <w:contextualSpacing/>
        <w:jc w:val="right"/>
        <w:rPr>
          <w:rFonts w:hint="default" w:ascii="Times New Roman" w:hAnsi="Times New Roman"/>
          <w:b/>
          <w:bCs/>
          <w:sz w:val="24"/>
          <w:szCs w:val="24"/>
        </w:rPr>
      </w:pPr>
      <w:r>
        <w:rPr>
          <w:rFonts w:hint="default" w:ascii="Times New Roman" w:hAnsi="Times New Roman"/>
          <w:b/>
          <w:bCs/>
          <w:sz w:val="24"/>
          <w:szCs w:val="24"/>
        </w:rPr>
        <w:t>Tikhomirova V.V.</w:t>
      </w:r>
    </w:p>
    <w:p w14:paraId="022C21BC">
      <w:pPr>
        <w:pStyle w:val="9"/>
        <w:numPr>
          <w:ilvl w:val="0"/>
          <w:numId w:val="0"/>
        </w:numPr>
        <w:tabs>
          <w:tab w:val="left" w:pos="993"/>
        </w:tabs>
        <w:contextualSpacing/>
        <w:jc w:val="both"/>
        <w:rPr>
          <w:rFonts w:hint="default" w:ascii="Times New Roman" w:hAnsi="Times New Roman"/>
          <w:b/>
          <w:bCs/>
          <w:sz w:val="24"/>
          <w:szCs w:val="24"/>
        </w:rPr>
      </w:pPr>
    </w:p>
    <w:p w14:paraId="5E911A5D">
      <w:pPr>
        <w:pStyle w:val="9"/>
        <w:numPr>
          <w:ilvl w:val="0"/>
          <w:numId w:val="0"/>
        </w:numPr>
        <w:tabs>
          <w:tab w:val="left" w:pos="993"/>
        </w:tabs>
        <w:contextualSpacing/>
        <w:jc w:val="center"/>
        <w:rPr>
          <w:rFonts w:hint="default" w:ascii="Times New Roman" w:hAnsi="Times New Roman" w:cs="Times New Roman"/>
          <w:b/>
          <w:bCs/>
          <w:sz w:val="24"/>
          <w:szCs w:val="24"/>
        </w:rPr>
      </w:pPr>
      <w:r>
        <w:rPr>
          <w:rFonts w:hint="default" w:ascii="Times New Roman" w:hAnsi="Times New Roman"/>
          <w:b/>
          <w:bCs/>
          <w:sz w:val="24"/>
          <w:szCs w:val="24"/>
        </w:rPr>
        <w:t>HUMAN CAPITAL AS A FACTOR OF INCREASING ECONOMIC GROWTH AND SUSTAINABLE DEVELOPMENT OF NORTHERN TERRITORIES IN THE CONTEXT OF MODERN CHALLENGES</w:t>
      </w:r>
    </w:p>
    <w:p w14:paraId="15CB692D">
      <w:pPr>
        <w:jc w:val="both"/>
        <w:rPr>
          <w:rFonts w:hint="default" w:ascii="Times New Roman" w:hAnsi="Times New Roman" w:cs="Times New Roman"/>
          <w:sz w:val="24"/>
          <w:szCs w:val="24"/>
          <w:lang w:val="ru-RU"/>
        </w:rPr>
      </w:pPr>
    </w:p>
    <w:p w14:paraId="3F36A543">
      <w:pPr>
        <w:jc w:val="both"/>
        <w:rPr>
          <w:rFonts w:hint="default" w:ascii="Times New Roman" w:hAnsi="Times New Roman"/>
          <w:sz w:val="24"/>
          <w:szCs w:val="24"/>
          <w:lang w:val="ru-RU"/>
        </w:rPr>
      </w:pPr>
      <w:r>
        <w:rPr>
          <w:rFonts w:hint="default" w:ascii="Times New Roman" w:hAnsi="Times New Roman"/>
          <w:b/>
          <w:bCs/>
          <w:sz w:val="24"/>
          <w:szCs w:val="24"/>
          <w:lang w:val="ru-RU"/>
        </w:rPr>
        <w:t>Abstract.</w:t>
      </w:r>
      <w:r>
        <w:rPr>
          <w:rFonts w:hint="default" w:ascii="Times New Roman" w:hAnsi="Times New Roman"/>
          <w:sz w:val="24"/>
          <w:szCs w:val="24"/>
          <w:lang w:val="ru-RU"/>
        </w:rPr>
        <w:t xml:space="preserve"> The article is devoted to the study of regional economic growth using the example of northern regions. The analysis of the dynamics of the gross regional product, labor force and fixed assets for the period from 2010 to 2024 is presented. The impact of demographic processes and migration flows on the formation of human capital is assessed.</w:t>
      </w:r>
    </w:p>
    <w:p w14:paraId="35A99196">
      <w:pPr>
        <w:jc w:val="both"/>
        <w:rPr>
          <w:rFonts w:hint="default" w:ascii="Times New Roman" w:hAnsi="Times New Roman"/>
          <w:sz w:val="24"/>
          <w:szCs w:val="24"/>
          <w:lang w:val="ru-RU"/>
        </w:rPr>
      </w:pPr>
    </w:p>
    <w:p w14:paraId="7BBC8592">
      <w:pPr>
        <w:jc w:val="both"/>
        <w:rPr>
          <w:rFonts w:hint="default" w:ascii="Times New Roman" w:hAnsi="Times New Roman"/>
          <w:sz w:val="24"/>
          <w:szCs w:val="24"/>
          <w:lang w:val="ru-RU"/>
        </w:rPr>
      </w:pPr>
      <w:r>
        <w:rPr>
          <w:rFonts w:hint="default" w:ascii="Times New Roman" w:hAnsi="Times New Roman"/>
          <w:b/>
          <w:bCs/>
          <w:sz w:val="24"/>
          <w:szCs w:val="24"/>
          <w:lang w:val="ru-RU"/>
        </w:rPr>
        <w:t>Key words:</w:t>
      </w:r>
      <w:r>
        <w:rPr>
          <w:rFonts w:hint="default" w:ascii="Times New Roman" w:hAnsi="Times New Roman"/>
          <w:sz w:val="24"/>
          <w:szCs w:val="24"/>
          <w:lang w:val="ru-RU"/>
        </w:rPr>
        <w:t xml:space="preserve"> Economic growth, northern regions, factors of economic growth, human capital, gross regional product, fixed assets.</w:t>
      </w:r>
    </w:p>
    <w:p w14:paraId="45887DC5">
      <w:pPr>
        <w:jc w:val="both"/>
        <w:rPr>
          <w:rFonts w:hint="default" w:ascii="Times New Roman" w:hAnsi="Times New Roman"/>
          <w:sz w:val="24"/>
          <w:szCs w:val="24"/>
          <w:lang w:val="ru-RU"/>
        </w:rPr>
      </w:pPr>
    </w:p>
    <w:p w14:paraId="12133FA5">
      <w:pPr>
        <w:jc w:val="center"/>
        <w:rPr>
          <w:rFonts w:hint="default" w:ascii="Times New Roman" w:hAnsi="Times New Roman"/>
          <w:b/>
          <w:bCs/>
          <w:sz w:val="24"/>
          <w:szCs w:val="24"/>
          <w:lang w:val="ru-RU"/>
        </w:rPr>
      </w:pPr>
      <w:r>
        <w:rPr>
          <w:rFonts w:hint="default" w:ascii="Times New Roman" w:hAnsi="Times New Roman"/>
          <w:b/>
          <w:bCs/>
          <w:sz w:val="24"/>
          <w:szCs w:val="24"/>
          <w:lang w:val="ru-RU"/>
        </w:rPr>
        <w:t>About the author</w:t>
      </w:r>
    </w:p>
    <w:p w14:paraId="22D2BA09">
      <w:pPr>
        <w:jc w:val="both"/>
        <w:rPr>
          <w:rFonts w:hint="default" w:ascii="Times New Roman" w:hAnsi="Times New Roman"/>
          <w:sz w:val="24"/>
          <w:szCs w:val="24"/>
          <w:lang w:val="ru-RU"/>
        </w:rPr>
      </w:pPr>
    </w:p>
    <w:p w14:paraId="21035F53">
      <w:pPr>
        <w:jc w:val="both"/>
        <w:rPr>
          <w:rFonts w:hint="default" w:ascii="Times New Roman" w:hAnsi="Times New Roman"/>
          <w:sz w:val="24"/>
          <w:szCs w:val="24"/>
          <w:lang w:val="ru-RU"/>
        </w:rPr>
      </w:pPr>
      <w:r>
        <w:rPr>
          <w:rFonts w:hint="default" w:ascii="Times New Roman" w:hAnsi="Times New Roman"/>
          <w:sz w:val="24"/>
          <w:szCs w:val="24"/>
          <w:lang w:val="ru-RU"/>
        </w:rPr>
        <w:t>Tikhomirova Valentina Valentinovna (Russia, Syktyvkar) – Senior Researcher, PhD in Economics, Institute of Socio-Economic and Energy Problems of the North, Komi Scientific Center, Ural Branch of the Russian Academy of Sciences (ISEPS Komi SC UB RAS) (167000, Komi Republic, Syktyvkar, Kommunisticheskaya, 26, ISEEPS Komi SC UB RAS); e-mail:tikhomirova@iespn.komisc.ru).</w:t>
      </w:r>
    </w:p>
    <w:p w14:paraId="5DCDD672">
      <w:pPr>
        <w:jc w:val="both"/>
        <w:rPr>
          <w:rFonts w:hint="default" w:ascii="Times New Roman" w:hAnsi="Times New Roman"/>
          <w:sz w:val="24"/>
          <w:szCs w:val="24"/>
          <w:lang w:val="ru-RU"/>
        </w:rPr>
      </w:pPr>
    </w:p>
    <w:p w14:paraId="32658A98">
      <w:pPr>
        <w:jc w:val="center"/>
        <w:rPr>
          <w:rFonts w:hint="default" w:ascii="Times New Roman" w:hAnsi="Times New Roman"/>
          <w:b/>
          <w:bCs/>
          <w:sz w:val="24"/>
          <w:szCs w:val="24"/>
          <w:lang w:val="ru-RU"/>
        </w:rPr>
      </w:pPr>
      <w:r>
        <w:rPr>
          <w:rFonts w:hint="default" w:ascii="Times New Roman" w:hAnsi="Times New Roman"/>
          <w:b/>
          <w:bCs/>
          <w:sz w:val="24"/>
          <w:szCs w:val="24"/>
          <w:lang w:val="ru-RU"/>
        </w:rPr>
        <w:t>Bibliographic list</w:t>
      </w:r>
    </w:p>
    <w:p w14:paraId="1FB2ADB2">
      <w:pPr>
        <w:jc w:val="both"/>
        <w:rPr>
          <w:rFonts w:hint="default" w:ascii="Times New Roman" w:hAnsi="Times New Roman"/>
          <w:sz w:val="24"/>
          <w:szCs w:val="24"/>
          <w:lang w:val="ru-RU"/>
        </w:rPr>
      </w:pPr>
    </w:p>
    <w:p w14:paraId="6B15D523">
      <w:pPr>
        <w:jc w:val="both"/>
        <w:rPr>
          <w:rFonts w:hint="default" w:ascii="Times New Roman" w:hAnsi="Times New Roman"/>
          <w:sz w:val="24"/>
          <w:szCs w:val="24"/>
          <w:lang w:val="ru-RU"/>
        </w:rPr>
      </w:pPr>
      <w:r>
        <w:rPr>
          <w:rFonts w:hint="default" w:ascii="Times New Roman" w:hAnsi="Times New Roman"/>
          <w:sz w:val="24"/>
          <w:szCs w:val="24"/>
          <w:lang w:val="ru-RU"/>
        </w:rPr>
        <w:t>1. Popova S.A. Human capital as a factor in the economic security of the civilizational development of Russia // Bulletin of the University of World Civilizations. - 2021. - Vol. 12. - No. 1 (30). - P. 68-76.</w:t>
      </w:r>
    </w:p>
    <w:p w14:paraId="6E4504BB">
      <w:pPr>
        <w:jc w:val="both"/>
        <w:rPr>
          <w:rFonts w:hint="default" w:ascii="Times New Roman" w:hAnsi="Times New Roman"/>
          <w:sz w:val="24"/>
          <w:szCs w:val="24"/>
          <w:lang w:val="ru-RU"/>
        </w:rPr>
      </w:pPr>
      <w:r>
        <w:rPr>
          <w:rFonts w:hint="default" w:ascii="Times New Roman" w:hAnsi="Times New Roman"/>
          <w:sz w:val="24"/>
          <w:szCs w:val="24"/>
          <w:lang w:val="ru-RU"/>
        </w:rPr>
        <w:t>2. Krasova E.V. Economic growth, productivity and human capital: the search for a relationship mechanism // Azimuth of scientific research: economics and management. - 2020. - Vol. 9. - No. 3 (32). - P. 215-218.</w:t>
      </w:r>
    </w:p>
    <w:p w14:paraId="7C27F882">
      <w:pPr>
        <w:jc w:val="both"/>
        <w:rPr>
          <w:rFonts w:hint="default" w:ascii="Times New Roman" w:hAnsi="Times New Roman"/>
          <w:sz w:val="24"/>
          <w:szCs w:val="24"/>
          <w:lang w:val="ru-RU"/>
        </w:rPr>
      </w:pPr>
      <w:r>
        <w:rPr>
          <w:rFonts w:hint="default" w:ascii="Times New Roman" w:hAnsi="Times New Roman"/>
          <w:sz w:val="24"/>
          <w:szCs w:val="24"/>
          <w:lang w:val="ru-RU"/>
        </w:rPr>
        <w:t>3. Aseyeva A.A. Assessment of regional components of human capital // Bulletin of the Academy of knowledge. - 2024. - No. 5 (64). - P. 62-66.</w:t>
      </w:r>
    </w:p>
    <w:p w14:paraId="7CA4818D">
      <w:pPr>
        <w:jc w:val="both"/>
        <w:rPr>
          <w:rFonts w:hint="default" w:ascii="Times New Roman" w:hAnsi="Times New Roman"/>
          <w:sz w:val="24"/>
          <w:szCs w:val="24"/>
          <w:lang w:val="ru-RU"/>
        </w:rPr>
      </w:pPr>
      <w:r>
        <w:rPr>
          <w:rFonts w:hint="default" w:ascii="Times New Roman" w:hAnsi="Times New Roman"/>
          <w:sz w:val="24"/>
          <w:szCs w:val="24"/>
          <w:lang w:val="ru-RU"/>
        </w:rPr>
        <w:t>4. Alekhine B.I. Human capital and the growth of regional economies // Spatial economy. – 2021. – Vol. 17. – No. 2. – P. 57-80.</w:t>
      </w:r>
    </w:p>
    <w:p w14:paraId="43483350">
      <w:pPr>
        <w:jc w:val="both"/>
        <w:rPr>
          <w:rFonts w:hint="default" w:ascii="Times New Roman" w:hAnsi="Times New Roman"/>
          <w:sz w:val="24"/>
          <w:szCs w:val="24"/>
          <w:lang w:val="ru-RU"/>
        </w:rPr>
      </w:pPr>
      <w:r>
        <w:rPr>
          <w:rFonts w:hint="default" w:ascii="Times New Roman" w:hAnsi="Times New Roman"/>
          <w:sz w:val="24"/>
          <w:szCs w:val="24"/>
          <w:lang w:val="ru-RU"/>
        </w:rPr>
        <w:t>5. Kryukov V.A., Kolomak E.A. Spatial development of Russia: main problems and approaches to overcoming them // Scientific works of the Free Economic Society of Russia. – 2021. – Vol. 227. – No. 1. – P. 92-114.</w:t>
      </w:r>
    </w:p>
    <w:p w14:paraId="7F922254">
      <w:pPr>
        <w:jc w:val="both"/>
        <w:rPr>
          <w:rFonts w:hint="default" w:ascii="Times New Roman" w:hAnsi="Times New Roman"/>
          <w:sz w:val="24"/>
          <w:szCs w:val="24"/>
          <w:lang w:val="ru-RU"/>
        </w:rPr>
      </w:pPr>
      <w:r>
        <w:rPr>
          <w:rFonts w:hint="default" w:ascii="Times New Roman" w:hAnsi="Times New Roman"/>
          <w:sz w:val="24"/>
          <w:szCs w:val="24"/>
          <w:lang w:val="ru-RU"/>
        </w:rPr>
        <w:t>6. Shimanovsky D.V. Innovations as a factor in economic growth of Russian regions: econometric analysis // Bulletin of Perm University. Series: Economy. – 2022. – Vol. 17. – No. 2. – P. 145-160.</w:t>
      </w: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CA22C9"/>
    <w:multiLevelType w:val="multilevel"/>
    <w:tmpl w:val="06CA22C9"/>
    <w:lvl w:ilvl="0" w:tentative="0">
      <w:start w:val="1"/>
      <w:numFmt w:val="decimal"/>
      <w:lvlText w:val="%1."/>
      <w:lvlJc w:val="left"/>
      <w:pPr>
        <w:ind w:left="1428" w:hanging="360"/>
      </w:pPr>
    </w:lvl>
    <w:lvl w:ilvl="1" w:tentative="0">
      <w:start w:val="1"/>
      <w:numFmt w:val="lowerLetter"/>
      <w:lvlText w:val="%2."/>
      <w:lvlJc w:val="left"/>
      <w:pPr>
        <w:ind w:left="2148" w:hanging="360"/>
      </w:pPr>
    </w:lvl>
    <w:lvl w:ilvl="2" w:tentative="0">
      <w:start w:val="1"/>
      <w:numFmt w:val="lowerRoman"/>
      <w:lvlText w:val="%3."/>
      <w:lvlJc w:val="right"/>
      <w:pPr>
        <w:ind w:left="2868" w:hanging="180"/>
      </w:pPr>
    </w:lvl>
    <w:lvl w:ilvl="3" w:tentative="0">
      <w:start w:val="1"/>
      <w:numFmt w:val="decimal"/>
      <w:lvlText w:val="%4."/>
      <w:lvlJc w:val="left"/>
      <w:pPr>
        <w:ind w:left="3588" w:hanging="360"/>
      </w:pPr>
    </w:lvl>
    <w:lvl w:ilvl="4" w:tentative="0">
      <w:start w:val="1"/>
      <w:numFmt w:val="lowerLetter"/>
      <w:lvlText w:val="%5."/>
      <w:lvlJc w:val="left"/>
      <w:pPr>
        <w:ind w:left="4308" w:hanging="360"/>
      </w:pPr>
    </w:lvl>
    <w:lvl w:ilvl="5" w:tentative="0">
      <w:start w:val="1"/>
      <w:numFmt w:val="lowerRoman"/>
      <w:lvlText w:val="%6."/>
      <w:lvlJc w:val="right"/>
      <w:pPr>
        <w:ind w:left="5028" w:hanging="180"/>
      </w:pPr>
    </w:lvl>
    <w:lvl w:ilvl="6" w:tentative="0">
      <w:start w:val="1"/>
      <w:numFmt w:val="decimal"/>
      <w:lvlText w:val="%7."/>
      <w:lvlJc w:val="left"/>
      <w:pPr>
        <w:ind w:left="5748" w:hanging="360"/>
      </w:pPr>
    </w:lvl>
    <w:lvl w:ilvl="7" w:tentative="0">
      <w:start w:val="1"/>
      <w:numFmt w:val="lowerLetter"/>
      <w:lvlText w:val="%8."/>
      <w:lvlJc w:val="left"/>
      <w:pPr>
        <w:ind w:left="6468" w:hanging="360"/>
      </w:pPr>
    </w:lvl>
    <w:lvl w:ilvl="8" w:tentative="0">
      <w:start w:val="1"/>
      <w:numFmt w:val="lowerRoman"/>
      <w:lvlText w:val="%9."/>
      <w:lvlJc w:val="right"/>
      <w:pPr>
        <w:ind w:left="718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708"/>
  <w:drawingGridVerticalSpacing w:val="156"/>
  <w:displayHorizontalDrawingGridEvery w:val="1"/>
  <w:displayVerticalDrawingGridEvery w:val="1"/>
  <w:noPunctuationKerning w:val="1"/>
  <w:characterSpacingControl w:val="doNotCompress"/>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7860D6"/>
    <w:rsid w:val="01F66B02"/>
    <w:rsid w:val="0D1E3ECB"/>
    <w:rsid w:val="0E681731"/>
    <w:rsid w:val="13E968BA"/>
    <w:rsid w:val="16371982"/>
    <w:rsid w:val="16BA3D6A"/>
    <w:rsid w:val="1A0A323B"/>
    <w:rsid w:val="1E8B1E2C"/>
    <w:rsid w:val="1ECD3A98"/>
    <w:rsid w:val="1F723023"/>
    <w:rsid w:val="1FC11EA9"/>
    <w:rsid w:val="21C432EE"/>
    <w:rsid w:val="2C971B37"/>
    <w:rsid w:val="2F5571B1"/>
    <w:rsid w:val="34F21768"/>
    <w:rsid w:val="3D4949DC"/>
    <w:rsid w:val="3DE85D9F"/>
    <w:rsid w:val="40AD16D1"/>
    <w:rsid w:val="43C43FF0"/>
    <w:rsid w:val="4BF04FCA"/>
    <w:rsid w:val="4D2436F4"/>
    <w:rsid w:val="4EF61917"/>
    <w:rsid w:val="550C0DE2"/>
    <w:rsid w:val="56C86370"/>
    <w:rsid w:val="5C61311E"/>
    <w:rsid w:val="5D7860D6"/>
    <w:rsid w:val="5E7B54F5"/>
    <w:rsid w:val="66AD6727"/>
    <w:rsid w:val="672E5D0F"/>
    <w:rsid w:val="68BE541E"/>
    <w:rsid w:val="6DC1541F"/>
    <w:rsid w:val="6FFA2FFD"/>
    <w:rsid w:val="72675E40"/>
    <w:rsid w:val="757B56CA"/>
    <w:rsid w:val="76810BF7"/>
    <w:rsid w:val="77ED25E1"/>
    <w:rsid w:val="7C1036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qFormat="1" w:unhideWhenUsed="0" w:uiPriority="34" w:semiHidden="0" w:name="List Paragraph"/>
  </w:latentStyles>
  <w:style w:type="paragraph" w:default="1" w:styleId="1">
    <w:name w:val="Normal"/>
    <w:qFormat/>
    <w:uiPriority w:val="0"/>
    <w:rPr>
      <w:rFonts w:asciiTheme="minorHAnsi" w:hAnsiTheme="minorHAnsi" w:eastAsiaTheme="minorEastAsia" w:cstheme="minorBidi"/>
      <w:lang w:val="en-US" w:eastAsia="zh-CN" w:bidi="ar-SA"/>
    </w:rPr>
  </w:style>
  <w:style w:type="paragraph" w:styleId="2">
    <w:name w:val="heading 1"/>
    <w:basedOn w:val="1"/>
    <w:next w:val="1"/>
    <w:qFormat/>
    <w:uiPriority w:val="0"/>
    <w:pPr>
      <w:keepNext/>
      <w:widowControl/>
      <w:spacing w:before="240" w:after="60"/>
      <w:jc w:val="left"/>
      <w:outlineLvl w:val="0"/>
    </w:pPr>
    <w:rPr>
      <w:rFonts w:ascii="Arial" w:hAnsi="Arial" w:cs="Arial"/>
      <w:b/>
      <w:bCs/>
      <w:kern w:val="32"/>
      <w:sz w:val="32"/>
      <w:szCs w:val="32"/>
    </w:rPr>
  </w:style>
  <w:style w:type="character" w:default="1" w:styleId="3">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styleId="5">
    <w:name w:val="Hyperlink"/>
    <w:basedOn w:val="3"/>
    <w:unhideWhenUsed/>
    <w:qFormat/>
    <w:uiPriority w:val="99"/>
    <w:rPr>
      <w:color w:val="0000FF"/>
      <w:u w:val="single"/>
    </w:rPr>
  </w:style>
  <w:style w:type="paragraph" w:styleId="6">
    <w:name w:val="header"/>
    <w:basedOn w:val="1"/>
    <w:qFormat/>
    <w:uiPriority w:val="0"/>
    <w:pPr>
      <w:tabs>
        <w:tab w:val="center" w:pos="4153"/>
        <w:tab w:val="right" w:pos="8306"/>
      </w:tabs>
    </w:pPr>
  </w:style>
  <w:style w:type="paragraph" w:styleId="7">
    <w:name w:val="footer"/>
    <w:basedOn w:val="1"/>
    <w:qFormat/>
    <w:uiPriority w:val="0"/>
    <w:pPr>
      <w:tabs>
        <w:tab w:val="center" w:pos="4153"/>
        <w:tab w:val="right" w:pos="8306"/>
      </w:tabs>
    </w:pPr>
  </w:style>
  <w:style w:type="table" w:styleId="8">
    <w:name w:val="Table Grid"/>
    <w:basedOn w:val="4"/>
    <w:qFormat/>
    <w:uiPriority w:val="59"/>
    <w:pPr>
      <w:ind w:firstLine="709"/>
      <w:jc w:val="both"/>
    </w:pPr>
    <w:rPr>
      <w:kern w:val="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9">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18</TotalTime>
  <ScaleCrop>false</ScaleCrop>
  <LinksUpToDate>false</LinksUpToDate>
  <CharactersWithSpaces>0</CharactersWithSpaces>
  <Application>WPS Office_12.2.0.20795_F1E327BC-269C-435d-A152-05C5408002CA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2025-05-05T07:02:00Z</dcterms:created>
  <dc:creator>emon</dc:creator>
  <cp:lastModifiedBy>emon</cp:lastModifiedBy>
  <dcterms:modified xsi:type="dcterms:W3CDTF">2025-05-06T14:01:03Z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1049-12.2.0.20795</vt:lpwstr>
  </property>
  <property fmtid="{D5CDD505-2E9C-101B-9397-08002B2CF9AE}" pid="3" name="ICV">
    <vt:lpwstr>F6DC2A344A1542F69F0E13278D41A716_13</vt:lpwstr>
  </property>
</Properties>
</file>