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drawings/drawing1.xml" ContentType="application/vnd.openxmlformats-officedocument.drawingml.chartshapes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drawings/drawing2.xml" ContentType="application/vnd.openxmlformats-officedocument.drawingml.chartshapes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AB937" w14:textId="4BA5149F" w:rsidR="00186CB0" w:rsidRDefault="00186CB0" w:rsidP="00186CB0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bookmarkStart w:id="0" w:name="_Toc76714064"/>
      <w:r>
        <w:rPr>
          <w:rFonts w:ascii="Times New Roman" w:eastAsia="Times New Roman" w:hAnsi="Times New Roman" w:cs="Times New Roman"/>
          <w:b/>
          <w:sz w:val="24"/>
          <w:lang w:eastAsia="ru-RU"/>
        </w:rPr>
        <w:t>УДК 339.9 / ББК 65.32</w:t>
      </w:r>
    </w:p>
    <w:p w14:paraId="19E2BEA8" w14:textId="6BCA0361" w:rsidR="00827E82" w:rsidRPr="00295ADF" w:rsidRDefault="00EC4D8E" w:rsidP="00046B80">
      <w:pPr>
        <w:spacing w:after="0" w:line="360" w:lineRule="auto"/>
        <w:jc w:val="right"/>
        <w:rPr>
          <w:rFonts w:ascii="Times New Roman" w:hAnsi="Times New Roman" w:cs="Times New Roman"/>
          <w:b/>
          <w:bCs/>
          <w:caps/>
          <w:sz w:val="24"/>
          <w:szCs w:val="24"/>
          <w:vertAlign w:val="superscript"/>
        </w:rPr>
      </w:pPr>
      <w:r w:rsidRPr="00295ADF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Малышев М.К.</w:t>
      </w:r>
      <w:bookmarkEnd w:id="0"/>
      <w:r w:rsidR="00295ADF">
        <w:rPr>
          <w:rStyle w:val="a3"/>
          <w:rFonts w:ascii="Times New Roman" w:hAnsi="Times New Roman" w:cs="Times New Roman"/>
          <w:b/>
          <w:bCs/>
          <w:sz w:val="24"/>
          <w:szCs w:val="24"/>
          <w:lang w:eastAsia="ru-RU"/>
        </w:rPr>
        <w:footnoteReference w:id="1"/>
      </w:r>
    </w:p>
    <w:p w14:paraId="1507DD07" w14:textId="37962684" w:rsidR="00827E82" w:rsidRPr="00295ADF" w:rsidRDefault="00FE06C8" w:rsidP="00126F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ВЛИЯНИЕ ПРОИЗВОДСТВА МИНЕРАЛЬНЫХ УДОБРЕНИЙ НА ОБЕСПЕЧЕНИЕ ГЛОБАЛЬНОЙ ПРОДОВОЛЬСТВЕННОЙ БЕЗОПАСНОСТИ СЕЛЬСКОГО ХОЗЯЙСТВА</w:t>
      </w:r>
      <w:r w:rsidR="00BA3C29">
        <w:rPr>
          <w:rStyle w:val="a3"/>
          <w:rFonts w:ascii="Times New Roman" w:eastAsia="Times New Roman" w:hAnsi="Times New Roman" w:cs="Times New Roman"/>
          <w:b/>
          <w:bCs/>
          <w:sz w:val="24"/>
          <w:szCs w:val="24"/>
        </w:rPr>
        <w:footnoteReference w:id="2"/>
      </w:r>
    </w:p>
    <w:p w14:paraId="520D795E" w14:textId="77777777" w:rsidR="00FF0FC1" w:rsidRPr="00FF0FC1" w:rsidRDefault="00FF0FC1" w:rsidP="00295AD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</w:rPr>
      </w:pPr>
    </w:p>
    <w:p w14:paraId="0DFCEC74" w14:textId="000D6185" w:rsidR="000A3175" w:rsidRPr="000A3175" w:rsidRDefault="00827E82" w:rsidP="00295ADF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</w:rPr>
      </w:pPr>
      <w:r w:rsidRPr="000A3175">
        <w:rPr>
          <w:rFonts w:ascii="Times New Roman" w:hAnsi="Times New Roman" w:cs="Times New Roman"/>
          <w:b/>
          <w:bCs/>
          <w:iCs/>
        </w:rPr>
        <w:t>Аннотация:</w:t>
      </w:r>
      <w:r w:rsidRPr="000A3175">
        <w:rPr>
          <w:rFonts w:ascii="Times New Roman" w:hAnsi="Times New Roman" w:cs="Times New Roman"/>
          <w:i/>
        </w:rPr>
        <w:t xml:space="preserve"> </w:t>
      </w:r>
      <w:r w:rsidR="000A3175" w:rsidRPr="000A3175">
        <w:rPr>
          <w:rFonts w:ascii="Times New Roman" w:hAnsi="Times New Roman" w:cs="Times New Roman"/>
          <w:i/>
        </w:rPr>
        <w:t xml:space="preserve">В </w:t>
      </w:r>
      <w:r w:rsidR="00644F83">
        <w:rPr>
          <w:rFonts w:ascii="Times New Roman" w:hAnsi="Times New Roman" w:cs="Times New Roman"/>
          <w:i/>
        </w:rPr>
        <w:t>статье</w:t>
      </w:r>
      <w:r w:rsidR="000A3175" w:rsidRPr="000A3175">
        <w:rPr>
          <w:rFonts w:ascii="Times New Roman" w:hAnsi="Times New Roman" w:cs="Times New Roman"/>
          <w:i/>
        </w:rPr>
        <w:t xml:space="preserve"> </w:t>
      </w:r>
      <w:r w:rsidR="00644F83">
        <w:rPr>
          <w:rFonts w:ascii="Times New Roman" w:hAnsi="Times New Roman" w:cs="Times New Roman"/>
          <w:i/>
        </w:rPr>
        <w:t xml:space="preserve">раскрыта роль одного из крупнейших и значимых сегментов химической промышленности </w:t>
      </w:r>
      <w:r w:rsidR="0004359B">
        <w:rPr>
          <w:rFonts w:ascii="Times New Roman" w:hAnsi="Times New Roman" w:cs="Times New Roman"/>
          <w:i/>
        </w:rPr>
        <w:t xml:space="preserve">– </w:t>
      </w:r>
      <w:r w:rsidR="00644F83">
        <w:rPr>
          <w:rFonts w:ascii="Times New Roman" w:hAnsi="Times New Roman" w:cs="Times New Roman"/>
          <w:i/>
        </w:rPr>
        <w:t>производств</w:t>
      </w:r>
      <w:r w:rsidR="0004359B">
        <w:rPr>
          <w:rFonts w:ascii="Times New Roman" w:hAnsi="Times New Roman" w:cs="Times New Roman"/>
          <w:i/>
        </w:rPr>
        <w:t>о</w:t>
      </w:r>
      <w:r w:rsidR="00644F83">
        <w:rPr>
          <w:rFonts w:ascii="Times New Roman" w:hAnsi="Times New Roman" w:cs="Times New Roman"/>
          <w:i/>
        </w:rPr>
        <w:t xml:space="preserve"> минеральных удобрений. Результаты исследования показали увеличение </w:t>
      </w:r>
      <w:r w:rsidR="0004359B">
        <w:rPr>
          <w:rFonts w:ascii="Times New Roman" w:hAnsi="Times New Roman" w:cs="Times New Roman"/>
          <w:i/>
        </w:rPr>
        <w:t>выпуска</w:t>
      </w:r>
      <w:r w:rsidR="00644F83">
        <w:rPr>
          <w:rFonts w:ascii="Times New Roman" w:hAnsi="Times New Roman" w:cs="Times New Roman"/>
          <w:i/>
        </w:rPr>
        <w:t xml:space="preserve"> и потребления </w:t>
      </w:r>
      <w:r w:rsidR="0004359B">
        <w:rPr>
          <w:rFonts w:ascii="Times New Roman" w:hAnsi="Times New Roman" w:cs="Times New Roman"/>
          <w:i/>
        </w:rPr>
        <w:t xml:space="preserve">удобрений </w:t>
      </w:r>
      <w:r w:rsidR="00644F83">
        <w:rPr>
          <w:rFonts w:ascii="Times New Roman" w:hAnsi="Times New Roman" w:cs="Times New Roman"/>
          <w:i/>
        </w:rPr>
        <w:t xml:space="preserve">в мире, а также рост </w:t>
      </w:r>
      <w:r w:rsidR="0004359B">
        <w:rPr>
          <w:rFonts w:ascii="Times New Roman" w:hAnsi="Times New Roman" w:cs="Times New Roman"/>
          <w:i/>
        </w:rPr>
        <w:t xml:space="preserve">стоимостного объёма </w:t>
      </w:r>
      <w:r w:rsidR="00644F83">
        <w:rPr>
          <w:rFonts w:ascii="Times New Roman" w:hAnsi="Times New Roman" w:cs="Times New Roman"/>
          <w:i/>
        </w:rPr>
        <w:t>рынка минеральных удобрений.</w:t>
      </w:r>
      <w:r w:rsidR="0004359B">
        <w:rPr>
          <w:rFonts w:ascii="Times New Roman" w:hAnsi="Times New Roman" w:cs="Times New Roman"/>
          <w:i/>
        </w:rPr>
        <w:t xml:space="preserve"> </w:t>
      </w:r>
    </w:p>
    <w:p w14:paraId="256B03AA" w14:textId="1B7361E3" w:rsidR="00EC4D8E" w:rsidRPr="00FF0FC1" w:rsidRDefault="00827E82" w:rsidP="00295ADF">
      <w:pPr>
        <w:spacing w:after="0" w:line="240" w:lineRule="auto"/>
        <w:ind w:firstLine="426"/>
        <w:jc w:val="both"/>
        <w:rPr>
          <w:rFonts w:ascii="Times New Roman" w:hAnsi="Times New Roman" w:cs="Times New Roman"/>
          <w:i/>
        </w:rPr>
      </w:pPr>
      <w:r w:rsidRPr="00FF0FC1">
        <w:rPr>
          <w:rFonts w:ascii="Times New Roman" w:hAnsi="Times New Roman" w:cs="Times New Roman"/>
          <w:b/>
          <w:bCs/>
          <w:iCs/>
        </w:rPr>
        <w:t>Ключевые слова:</w:t>
      </w:r>
      <w:r w:rsidR="00EC4D8E" w:rsidRPr="00FF0FC1">
        <w:rPr>
          <w:rFonts w:ascii="Times New Roman" w:hAnsi="Times New Roman" w:cs="Times New Roman"/>
          <w:i/>
        </w:rPr>
        <w:t xml:space="preserve"> </w:t>
      </w:r>
      <w:r w:rsidR="00F51CB0">
        <w:rPr>
          <w:rFonts w:ascii="Times New Roman" w:hAnsi="Times New Roman" w:cs="Times New Roman"/>
          <w:i/>
        </w:rPr>
        <w:t xml:space="preserve">минеральные удобрения, продовольственная безопасность, сельское хозяйство, </w:t>
      </w:r>
      <w:r w:rsidR="00644F83">
        <w:rPr>
          <w:rFonts w:ascii="Times New Roman" w:hAnsi="Times New Roman" w:cs="Times New Roman"/>
          <w:i/>
        </w:rPr>
        <w:t>аграрные рынки</w:t>
      </w:r>
    </w:p>
    <w:p w14:paraId="4223805D" w14:textId="77777777" w:rsidR="00EC4D8E" w:rsidRDefault="00EC4D8E" w:rsidP="00EC4D8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highlight w:val="yellow"/>
        </w:rPr>
      </w:pPr>
    </w:p>
    <w:p w14:paraId="389925D0" w14:textId="77777777" w:rsidR="00CF175C" w:rsidRPr="00CF175C" w:rsidRDefault="00CF175C" w:rsidP="00CF175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CF175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Особое значение химическая отрасль на фоне роста населения планеты, </w:t>
      </w:r>
      <w:r w:rsidRPr="00CF175C">
        <w:rPr>
          <w:rFonts w:ascii="Times New Roman" w:eastAsia="Calibri" w:hAnsi="Times New Roman" w:cs="Times New Roman"/>
          <w:sz w:val="24"/>
          <w:szCs w:val="24"/>
        </w:rPr>
        <w:t>увеличения потребления в быстроразвивающихся странах, неблагоприятных последствий</w:t>
      </w:r>
      <w:r w:rsidRPr="00CF175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изменения климата и влияния других вызовов приобрела в обеспечении глобальной продовольственной безопасности, что связано с необходимостью использования минеральных удобрений – неорганических соединений, поставляющих растениям необходимые питательные вещества, – для повышения результативности сельского хозяйства.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</w:t>
      </w:r>
    </w:p>
    <w:p w14:paraId="664C5BA6" w14:textId="2853A8ED" w:rsidR="00CF175C" w:rsidRDefault="00CF175C" w:rsidP="00CF175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>Еще в 1840 году н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емецкий учёный, один из основателей агрохимии Ю. фон Либих в своем труде по применению химии в земледелии писал: «Однажды придёт время, когда каждое поле, сообразно с растением, которое на нём будут разводить, будет удобряться свойственным удобрением, приготовленном на химических заводах»</w:t>
      </w:r>
      <w:r w:rsidR="0004359B" w:rsidRPr="0004359B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[1]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. В </w:t>
      </w:r>
      <w:r w:rsidRPr="00CF175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современном </w:t>
      </w: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сельском хозяйстве применение удобрений является обязательной агротехнической инициативой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и рассматривается в качестве одного из наиболее эффективных способов интенсивного земледелия, обусловленного тесной прямой связью между подпиткой почв неорганическими соединениями и степенью устойчивости сельскохозяйственных культур к климатическим условиям, уровнем урожайности и т.д. (</w:t>
      </w: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преимущества и возможные риски использования минеральных удобрений</w:t>
      </w:r>
      <w:r w:rsidR="000435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показаны в </w:t>
      </w:r>
      <w:r w:rsidRPr="00CF175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табл. 1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). </w:t>
      </w:r>
    </w:p>
    <w:p w14:paraId="304EED3E" w14:textId="4A08AEAD" w:rsidR="002F0848" w:rsidRDefault="00CF175C" w:rsidP="002F0848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>Таблица 1</w:t>
      </w:r>
    </w:p>
    <w:p w14:paraId="1A64ED43" w14:textId="62429B5B" w:rsidR="00CF175C" w:rsidRP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>Преимущества применения и возможные риски при несоблюдении правил использования минеральных удобрений для сельского хозяйства</w:t>
      </w:r>
    </w:p>
    <w:tbl>
      <w:tblPr>
        <w:tblStyle w:val="13"/>
        <w:tblW w:w="9639" w:type="dxa"/>
        <w:tblInd w:w="-5" w:type="dxa"/>
        <w:tblLook w:val="04A0" w:firstRow="1" w:lastRow="0" w:firstColumn="1" w:lastColumn="0" w:noHBand="0" w:noVBand="1"/>
      </w:tblPr>
      <w:tblGrid>
        <w:gridCol w:w="1276"/>
        <w:gridCol w:w="3969"/>
        <w:gridCol w:w="4394"/>
      </w:tblGrid>
      <w:tr w:rsidR="00CF175C" w:rsidRPr="00CF175C" w14:paraId="3D11512A" w14:textId="77777777" w:rsidTr="0030080A">
        <w:trPr>
          <w:trHeight w:val="11"/>
        </w:trPr>
        <w:tc>
          <w:tcPr>
            <w:tcW w:w="1276" w:type="dxa"/>
            <w:vAlign w:val="center"/>
          </w:tcPr>
          <w:p w14:paraId="2CEEE3C8" w14:textId="77777777" w:rsidR="00CF175C" w:rsidRPr="00CF175C" w:rsidRDefault="00CF175C" w:rsidP="00CF175C">
            <w:pPr>
              <w:jc w:val="center"/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Название</w:t>
            </w:r>
          </w:p>
        </w:tc>
        <w:tc>
          <w:tcPr>
            <w:tcW w:w="3969" w:type="dxa"/>
            <w:vAlign w:val="center"/>
          </w:tcPr>
          <w:p w14:paraId="63A52B39" w14:textId="77777777" w:rsidR="00CF175C" w:rsidRPr="00CF175C" w:rsidRDefault="00CF175C" w:rsidP="00CF175C">
            <w:pPr>
              <w:jc w:val="center"/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 xml:space="preserve">Преимущества использования </w:t>
            </w:r>
          </w:p>
          <w:p w14:paraId="5278130E" w14:textId="77777777" w:rsidR="00CF175C" w:rsidRPr="00CF175C" w:rsidRDefault="00CF175C" w:rsidP="00CF175C">
            <w:pPr>
              <w:jc w:val="center"/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минеральных удобрений</w:t>
            </w:r>
          </w:p>
        </w:tc>
        <w:tc>
          <w:tcPr>
            <w:tcW w:w="4394" w:type="dxa"/>
            <w:vAlign w:val="center"/>
          </w:tcPr>
          <w:p w14:paraId="637FE8C2" w14:textId="77777777" w:rsidR="00CF175C" w:rsidRPr="00CF175C" w:rsidRDefault="00CF175C" w:rsidP="00CF175C">
            <w:pPr>
              <w:jc w:val="center"/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Возможные риски при нарушении правил использования минеральных удобрений</w:t>
            </w:r>
          </w:p>
        </w:tc>
      </w:tr>
      <w:tr w:rsidR="00CF175C" w:rsidRPr="00CF175C" w14:paraId="29F080F7" w14:textId="77777777" w:rsidTr="0030080A">
        <w:trPr>
          <w:trHeight w:val="36"/>
        </w:trPr>
        <w:tc>
          <w:tcPr>
            <w:tcW w:w="1276" w:type="dxa"/>
            <w:vAlign w:val="center"/>
          </w:tcPr>
          <w:p w14:paraId="5C63874E" w14:textId="1C62D02F" w:rsidR="00CF175C" w:rsidRPr="00CF175C" w:rsidRDefault="00CF175C" w:rsidP="00CF175C">
            <w:pPr>
              <w:jc w:val="left"/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iCs/>
                <w:sz w:val="20"/>
                <w:szCs w:val="20"/>
              </w:rPr>
              <w:t>1. Азотные удобрения</w:t>
            </w:r>
          </w:p>
        </w:tc>
        <w:tc>
          <w:tcPr>
            <w:tcW w:w="3969" w:type="dxa"/>
            <w:vAlign w:val="center"/>
          </w:tcPr>
          <w:p w14:paraId="714AAD60" w14:textId="578ADEA8" w:rsidR="00CF175C" w:rsidRPr="00CF175C" w:rsidRDefault="00CF175C" w:rsidP="00CF175C">
            <w:pPr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Ускоряют развитие побегов, корней, зеленой массы; поставляют молодому растению необходимые аминокислоты; нормализуют водный баланс в тканях; стимулируют минерализацию другой подкормки, используемой после азота; делают растительный организм менее восприимчивым к травмам</w:t>
            </w:r>
            <w:r w:rsidR="0030080A">
              <w:rPr>
                <w:rFonts w:eastAsia="Calibri"/>
                <w:sz w:val="20"/>
                <w:szCs w:val="20"/>
              </w:rPr>
              <w:t>.</w:t>
            </w:r>
          </w:p>
        </w:tc>
        <w:tc>
          <w:tcPr>
            <w:tcW w:w="4394" w:type="dxa"/>
            <w:vAlign w:val="center"/>
          </w:tcPr>
          <w:p w14:paraId="58EA273F" w14:textId="045D0FD2" w:rsidR="00CF175C" w:rsidRPr="00CF175C" w:rsidRDefault="00CF175C" w:rsidP="00CF175C">
            <w:pPr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При передозировке растения жируют – идут в листья, а плодов нет; плодовые, ягодные и многолетники подмерзают; если во второй половине лета перекормить растения азотом, велика вероятность, что они подмёрзнут; плоды, клубни и луковицы хуже хранятся; перекормленные картошка и яблоки долго лежать не будут – они начнут быстро гнить</w:t>
            </w:r>
            <w:r w:rsidR="0030080A">
              <w:rPr>
                <w:rFonts w:eastAsia="Calibri"/>
                <w:sz w:val="20"/>
                <w:szCs w:val="20"/>
              </w:rPr>
              <w:t>.</w:t>
            </w:r>
          </w:p>
        </w:tc>
      </w:tr>
      <w:tr w:rsidR="00CF175C" w:rsidRPr="00CF175C" w14:paraId="038072E7" w14:textId="77777777" w:rsidTr="0030080A">
        <w:trPr>
          <w:trHeight w:val="34"/>
        </w:trPr>
        <w:tc>
          <w:tcPr>
            <w:tcW w:w="1276" w:type="dxa"/>
            <w:vAlign w:val="center"/>
          </w:tcPr>
          <w:p w14:paraId="0A905ED9" w14:textId="4EC3BE38" w:rsidR="00CF175C" w:rsidRPr="00CF175C" w:rsidRDefault="00CF175C" w:rsidP="00CF175C">
            <w:pPr>
              <w:jc w:val="left"/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2. Фосфорные удобрения</w:t>
            </w:r>
          </w:p>
        </w:tc>
        <w:tc>
          <w:tcPr>
            <w:tcW w:w="3969" w:type="dxa"/>
            <w:vAlign w:val="center"/>
          </w:tcPr>
          <w:p w14:paraId="5F935983" w14:textId="225D5E91" w:rsidR="00CF175C" w:rsidRPr="00CF175C" w:rsidRDefault="00CF175C" w:rsidP="00CF175C">
            <w:pPr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Делают вкус плода более насыщенным; листья начинают активно дышать; растение легко выдерживает морозы; растения укрепляются и имеет красивый внешний вид; замедляются процессы старения растений</w:t>
            </w:r>
            <w:r w:rsidR="0030080A">
              <w:rPr>
                <w:rFonts w:eastAsia="Calibri"/>
                <w:sz w:val="20"/>
                <w:szCs w:val="20"/>
              </w:rPr>
              <w:t>.</w:t>
            </w:r>
          </w:p>
        </w:tc>
        <w:tc>
          <w:tcPr>
            <w:tcW w:w="4394" w:type="dxa"/>
            <w:vAlign w:val="center"/>
          </w:tcPr>
          <w:p w14:paraId="32DDD6A6" w14:textId="77777777" w:rsidR="00CF175C" w:rsidRPr="00CF175C" w:rsidRDefault="00CF175C" w:rsidP="00CF175C">
            <w:pPr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Надземные части растений окрашиваются сначала в темно зеленый, а потом – в багрово-фиолетовый цвет; изменяются форма листьев, они преждевременно опадают; на нижних листьях образуются некротические изменения, появляются темные пятна.</w:t>
            </w:r>
          </w:p>
        </w:tc>
      </w:tr>
      <w:tr w:rsidR="00CF175C" w:rsidRPr="00CF175C" w14:paraId="6BB543F2" w14:textId="77777777" w:rsidTr="0030080A">
        <w:trPr>
          <w:trHeight w:val="32"/>
        </w:trPr>
        <w:tc>
          <w:tcPr>
            <w:tcW w:w="1276" w:type="dxa"/>
            <w:vAlign w:val="center"/>
          </w:tcPr>
          <w:p w14:paraId="71C4BE2A" w14:textId="15D95CA4" w:rsidR="00CF175C" w:rsidRPr="00CF175C" w:rsidRDefault="00CF175C" w:rsidP="00CF175C">
            <w:pPr>
              <w:jc w:val="left"/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lastRenderedPageBreak/>
              <w:t>3. Калийные удобрения</w:t>
            </w:r>
          </w:p>
        </w:tc>
        <w:tc>
          <w:tcPr>
            <w:tcW w:w="3969" w:type="dxa"/>
            <w:vAlign w:val="center"/>
          </w:tcPr>
          <w:p w14:paraId="23C03E95" w14:textId="5AFAD407" w:rsidR="00CF175C" w:rsidRPr="00CF175C" w:rsidRDefault="00CF175C" w:rsidP="00CF175C">
            <w:pPr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Повышают урожайность на 30–40%; развитие зелёной массы растений и активное цветение; повышение устойчивости к болезням и вредителям; улучшение вкусовых качеств плодов и увеличение сроков их хранения; повышение морозостойкости и засухоустойчивости; увеличение содержания крахмала и сахара в плодах</w:t>
            </w:r>
            <w:r w:rsidR="0030080A">
              <w:rPr>
                <w:rFonts w:eastAsia="Calibri"/>
                <w:sz w:val="20"/>
                <w:szCs w:val="20"/>
              </w:rPr>
              <w:t>.</w:t>
            </w:r>
          </w:p>
        </w:tc>
        <w:tc>
          <w:tcPr>
            <w:tcW w:w="4394" w:type="dxa"/>
            <w:vAlign w:val="center"/>
          </w:tcPr>
          <w:p w14:paraId="212D8E35" w14:textId="4C58655A" w:rsidR="00CF175C" w:rsidRPr="00CF175C" w:rsidRDefault="00CF175C" w:rsidP="00CF175C">
            <w:pPr>
              <w:rPr>
                <w:rFonts w:eastAsia="Calibri"/>
                <w:sz w:val="20"/>
                <w:szCs w:val="20"/>
              </w:rPr>
            </w:pPr>
            <w:r w:rsidRPr="00CF175C">
              <w:rPr>
                <w:rFonts w:eastAsia="Calibri"/>
                <w:sz w:val="20"/>
                <w:szCs w:val="20"/>
              </w:rPr>
              <w:t>Избыток таких подкормок приводит к замедлению развития растений и их усыханию; некоторые виды калийных удобрений имеют свои особенности и ограничения в использовании, например, хлористый калий может повышать кислотность грунта и накапливать соли, а поташ – сильно впитывать влагу и слеживаться</w:t>
            </w:r>
            <w:r w:rsidR="0030080A">
              <w:rPr>
                <w:rFonts w:eastAsia="Calibri"/>
                <w:sz w:val="20"/>
                <w:szCs w:val="20"/>
              </w:rPr>
              <w:t>.</w:t>
            </w:r>
          </w:p>
        </w:tc>
      </w:tr>
      <w:tr w:rsidR="00C3761C" w:rsidRPr="00CF175C" w14:paraId="1E792054" w14:textId="77777777" w:rsidTr="00965948">
        <w:trPr>
          <w:trHeight w:val="32"/>
        </w:trPr>
        <w:tc>
          <w:tcPr>
            <w:tcW w:w="9639" w:type="dxa"/>
            <w:gridSpan w:val="3"/>
            <w:vAlign w:val="center"/>
          </w:tcPr>
          <w:p w14:paraId="6D52D9C4" w14:textId="07059AE8" w:rsidR="00C3761C" w:rsidRPr="00066D3A" w:rsidRDefault="00C3761C" w:rsidP="00C3761C">
            <w:pPr>
              <w:ind w:firstLine="708"/>
              <w:rPr>
                <w:rFonts w:eastAsia="Calibri"/>
                <w:sz w:val="20"/>
                <w:szCs w:val="20"/>
              </w:rPr>
            </w:pPr>
            <w:r w:rsidRPr="00066D3A">
              <w:rPr>
                <w:rFonts w:eastAsia="Times New Roman"/>
                <w:bCs/>
                <w:iCs/>
                <w:sz w:val="20"/>
                <w:szCs w:val="20"/>
              </w:rPr>
              <w:t>*</w:t>
            </w:r>
            <w:r w:rsidRPr="00CF175C">
              <w:rPr>
                <w:rFonts w:eastAsia="Times New Roman"/>
                <w:bCs/>
                <w:iCs/>
                <w:sz w:val="20"/>
                <w:szCs w:val="20"/>
              </w:rPr>
              <w:t>Источник: составлено автор</w:t>
            </w:r>
            <w:r w:rsidRPr="00066D3A">
              <w:rPr>
                <w:rFonts w:eastAsia="Times New Roman"/>
                <w:bCs/>
                <w:iCs/>
                <w:sz w:val="20"/>
                <w:szCs w:val="20"/>
              </w:rPr>
              <w:t>ом по [2]</w:t>
            </w:r>
            <w:r w:rsidRPr="00CF175C">
              <w:rPr>
                <w:rFonts w:eastAsia="Times New Roman"/>
                <w:bCs/>
                <w:iCs/>
                <w:sz w:val="20"/>
                <w:szCs w:val="20"/>
              </w:rPr>
              <w:t>.</w:t>
            </w:r>
          </w:p>
        </w:tc>
      </w:tr>
    </w:tbl>
    <w:p w14:paraId="27D59954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8"/>
        </w:rPr>
      </w:pPr>
    </w:p>
    <w:p w14:paraId="545862A4" w14:textId="152C3592" w:rsidR="00CF175C" w:rsidRPr="00CF175C" w:rsidRDefault="00CF175C" w:rsidP="0030080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Например,</w:t>
      </w: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 использование азотно-фосфорно-калийного удобрения 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нитроаммофоска может увеличить урожайность на 30-70%.</w:t>
      </w: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Несмотря на более высокую стоимость (в 2-3 раза)</w:t>
      </w: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применение</w:t>
      </w: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минеральных удобрений имеет свои неоспоримые преимущества перед органическими удобрениями. Основываясь на многочисленных практиках, д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иректор профильного ФГБНУ «ВНИИ агрохимии» им. Д.Н. Прянишникова С.И. </w:t>
      </w:r>
      <w:proofErr w:type="spellStart"/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Шкуркин</w:t>
      </w:r>
      <w:proofErr w:type="spellEnd"/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убежден в невозможности решения проблемы продовольственной безопасности без применения средств интенсификации: минеральных удобрений, средств защиты растений, орошения, научно обоснованных севооборотов, энергонасыщенных агротехнологий</w:t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  <w:vertAlign w:val="superscript"/>
        </w:rPr>
        <w:footnoteReference w:id="3"/>
      </w:r>
      <w:r w:rsidRPr="00CF175C">
        <w:rPr>
          <w:rFonts w:ascii="Times New Roman" w:eastAsia="Times New Roman" w:hAnsi="Times New Roman" w:cs="Times New Roman"/>
          <w:bCs/>
          <w:iCs/>
          <w:sz w:val="24"/>
          <w:szCs w:val="24"/>
        </w:rPr>
        <w:t>.</w:t>
      </w:r>
      <w:r w:rsidR="0030080A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</w:t>
      </w: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Поэтому вполне логично, что в качестве важнейшего фактора траектория спроса на минеральные удобрения следует за тенденцией развития сельского хозяйства, </w:t>
      </w:r>
      <w:r w:rsidRPr="00CF175C">
        <w:rPr>
          <w:rFonts w:ascii="Times New Roman" w:eastAsia="Calibri" w:hAnsi="Times New Roman" w:cs="Times New Roman"/>
          <w:sz w:val="24"/>
          <w:szCs w:val="24"/>
        </w:rPr>
        <w:t>объём рынка которого в 2023 году приблизительно оценивался в 6 трлн. долл. (5,7% глобального ВВП), увеличившись с 1994 года в 5 раз (1,2 трлн. долл. или 4,3% ВВП). При этом сам объём рынка минеральных удобрений оценивался в 230 млрд. долл. на 2023 г. (около 0,2% в мировом ВВП), показывая рост примерно в 6,6 раза от уровня 1994 г. (35 млрд. долл. или 0,1% глобального ВВП).</w:t>
      </w:r>
    </w:p>
    <w:p w14:paraId="5DCD1DD2" w14:textId="47EF04EC" w:rsidR="00CF175C" w:rsidRPr="00CF175C" w:rsidRDefault="00CF175C" w:rsidP="00CF175C">
      <w:pPr>
        <w:widowControl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>В целом отмечается совпадение траекторий роста рынка минеральных удобрений и сельского хозяйства – падения и последующие восстановления после финансового кризиса 2009 г. и пандемии коронавируса 2020 г.</w:t>
      </w:r>
      <w:r w:rsidRPr="00CF175C">
        <w:rPr>
          <w:rFonts w:ascii="Times New Roman" w:eastAsia="Calibri" w:hAnsi="Times New Roman" w:cs="Times New Roman"/>
          <w:i/>
          <w:sz w:val="24"/>
          <w:szCs w:val="24"/>
        </w:rPr>
        <w:t xml:space="preserve"> (рис. 1)</w:t>
      </w:r>
      <w:r w:rsidRPr="00CF175C">
        <w:rPr>
          <w:rFonts w:ascii="Times New Roman" w:eastAsia="Calibri" w:hAnsi="Times New Roman" w:cs="Times New Roman"/>
          <w:iCs/>
          <w:sz w:val="24"/>
          <w:szCs w:val="24"/>
        </w:rPr>
        <w:t>. О</w:t>
      </w:r>
      <w:r w:rsidRPr="00CF175C">
        <w:rPr>
          <w:rFonts w:ascii="Times New Roman" w:eastAsia="Calibri" w:hAnsi="Times New Roman" w:cs="Times New Roman"/>
          <w:sz w:val="24"/>
          <w:szCs w:val="24"/>
        </w:rPr>
        <w:t>днако темпы стоимостного выражения минеральных удобрений, чему подробно будет посвящён последующий раздел, были выше, поскольку на сельское хозяйство, помимо удобрений, оказывают влияние климатические условия (засухи, наводнения, землетрясения) и геополитическая ситуация (кризисы, санкции, экспортно-импортные ограничения и пр.).</w:t>
      </w:r>
    </w:p>
    <w:p w14:paraId="20FDDEE0" w14:textId="77777777" w:rsidR="00CF175C" w:rsidRPr="00CF175C" w:rsidRDefault="00CF175C" w:rsidP="00CF175C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175C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5F95CD1C" wp14:editId="47B70C39">
            <wp:extent cx="6120000" cy="1800000"/>
            <wp:effectExtent l="0" t="0" r="0" b="0"/>
            <wp:docPr id="22" name="Диаграмма 22">
              <a:extLst xmlns:a="http://schemas.openxmlformats.org/drawingml/2006/main">
                <a:ext uri="{FF2B5EF4-FFF2-40B4-BE49-F238E27FC236}">
                  <a16:creationId xmlns:a16="http://schemas.microsoft.com/office/drawing/2014/main" id="{7E8E8BE6-91EC-46FC-9D3D-AAB5AFB183F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65C0C32" w14:textId="75379136" w:rsid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8"/>
        </w:rPr>
      </w:pPr>
      <w:r w:rsidRPr="00CF175C">
        <w:rPr>
          <w:rFonts w:ascii="Times New Roman" w:eastAsia="Calibri" w:hAnsi="Times New Roman" w:cs="Times New Roman"/>
          <w:sz w:val="24"/>
          <w:szCs w:val="28"/>
        </w:rPr>
        <w:t>Рис</w:t>
      </w:r>
      <w:r w:rsidR="0004359B">
        <w:rPr>
          <w:rFonts w:ascii="Times New Roman" w:eastAsia="Calibri" w:hAnsi="Times New Roman" w:cs="Times New Roman"/>
          <w:sz w:val="24"/>
          <w:szCs w:val="28"/>
        </w:rPr>
        <w:t>. 1</w:t>
      </w:r>
      <w:r w:rsidRPr="00CF175C">
        <w:rPr>
          <w:rFonts w:ascii="Times New Roman" w:eastAsia="Calibri" w:hAnsi="Times New Roman" w:cs="Times New Roman"/>
          <w:sz w:val="24"/>
          <w:szCs w:val="28"/>
        </w:rPr>
        <w:t xml:space="preserve">. </w:t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Динамика размера глобального рынка минеральных удобрений и сельского хозяйства за 1994–2023 гг.</w:t>
      </w:r>
    </w:p>
    <w:p w14:paraId="6FCAA80B" w14:textId="645A46D7" w:rsidR="00541833" w:rsidRPr="00541833" w:rsidRDefault="00541833" w:rsidP="00541833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24"/>
          <w:szCs w:val="28"/>
        </w:rPr>
      </w:pPr>
      <w:r w:rsidRPr="00C3761C">
        <w:rPr>
          <w:rFonts w:ascii="Times New Roman" w:eastAsia="Calibri" w:hAnsi="Times New Roman" w:cs="Times New Roman"/>
          <w:bCs/>
          <w:iCs/>
          <w:sz w:val="20"/>
        </w:rPr>
        <w:t>*</w:t>
      </w:r>
      <w:r w:rsidRPr="00CF175C">
        <w:rPr>
          <w:rFonts w:ascii="Times New Roman" w:eastAsia="Calibri" w:hAnsi="Times New Roman" w:cs="Times New Roman"/>
          <w:bCs/>
          <w:iCs/>
          <w:sz w:val="20"/>
        </w:rPr>
        <w:t xml:space="preserve">Источник: составлено по данным </w:t>
      </w:r>
      <w:proofErr w:type="spellStart"/>
      <w:r w:rsidR="00DA3846">
        <w:rPr>
          <w:rFonts w:ascii="Times New Roman" w:hAnsi="Times New Roman" w:cs="Times New Roman"/>
          <w:lang w:val="en-US"/>
        </w:rPr>
        <w:t>s</w:t>
      </w:r>
      <w:r w:rsidRPr="00541833">
        <w:rPr>
          <w:rFonts w:ascii="Times New Roman" w:hAnsi="Times New Roman" w:cs="Times New Roman"/>
          <w:lang w:val="en-US"/>
        </w:rPr>
        <w:t>tatista</w:t>
      </w:r>
      <w:proofErr w:type="spellEnd"/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  <w:lang w:val="en-US"/>
        </w:rPr>
        <w:t>com</w:t>
      </w:r>
      <w:r>
        <w:rPr>
          <w:rStyle w:val="a3"/>
          <w:rFonts w:ascii="Times New Roman" w:eastAsia="Calibri" w:hAnsi="Times New Roman" w:cs="Times New Roman"/>
          <w:b/>
          <w:sz w:val="24"/>
          <w:szCs w:val="28"/>
        </w:rPr>
        <w:footnoteReference w:id="4"/>
      </w:r>
      <w:r>
        <w:rPr>
          <w:rFonts w:ascii="Times New Roman" w:hAnsi="Times New Roman" w:cs="Times New Roman"/>
        </w:rPr>
        <w:t>.</w:t>
      </w:r>
    </w:p>
    <w:p w14:paraId="544CA551" w14:textId="77777777" w:rsidR="00CF175C" w:rsidRP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8"/>
        </w:rPr>
      </w:pPr>
    </w:p>
    <w:p w14:paraId="1B6EF563" w14:textId="00B2CC02" w:rsidR="00CF175C" w:rsidRPr="00CF175C" w:rsidRDefault="00CF175C" w:rsidP="00CF175C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Согласно прогнозным значениям Grand View Research, объём рынка удобрений к 2035 году составит около 370 млрд. долл., то есть вырастет примерно на 61% со средним темпом прироста в 4,1% </w:t>
      </w:r>
      <w:r w:rsidRPr="00CF175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(рис. </w:t>
      </w:r>
      <w:r w:rsidR="0030080A">
        <w:rPr>
          <w:rFonts w:ascii="Times New Roman" w:eastAsia="Calibri" w:hAnsi="Times New Roman" w:cs="Times New Roman"/>
          <w:i/>
          <w:iCs/>
          <w:sz w:val="24"/>
          <w:szCs w:val="24"/>
        </w:rPr>
        <w:t>2</w:t>
      </w:r>
      <w:r w:rsidRPr="00CF175C">
        <w:rPr>
          <w:rFonts w:ascii="Times New Roman" w:eastAsia="Calibri" w:hAnsi="Times New Roman" w:cs="Times New Roman"/>
          <w:i/>
          <w:iCs/>
          <w:sz w:val="24"/>
          <w:szCs w:val="24"/>
        </w:rPr>
        <w:t>).</w:t>
      </w:r>
    </w:p>
    <w:p w14:paraId="0AC88C18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CF175C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12AF76BA" wp14:editId="27461877">
            <wp:extent cx="6120000" cy="1980000"/>
            <wp:effectExtent l="0" t="0" r="0" b="1270"/>
            <wp:docPr id="41" name="Диаграмма 41">
              <a:extLst xmlns:a="http://schemas.openxmlformats.org/drawingml/2006/main">
                <a:ext uri="{FF2B5EF4-FFF2-40B4-BE49-F238E27FC236}">
                  <a16:creationId xmlns:a16="http://schemas.microsoft.com/office/drawing/2014/main" id="{FD69DF30-D0ED-4DC8-9B4B-F21ABE77471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4AB31FE1" w14:textId="42836A09" w:rsidR="00CF175C" w:rsidRP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8"/>
        </w:rPr>
      </w:pPr>
      <w:r w:rsidRPr="00CF175C">
        <w:rPr>
          <w:rFonts w:ascii="Times New Roman" w:eastAsia="Calibri" w:hAnsi="Times New Roman" w:cs="Times New Roman"/>
          <w:sz w:val="24"/>
          <w:szCs w:val="28"/>
        </w:rPr>
        <w:t>Рис</w:t>
      </w:r>
      <w:r w:rsidR="0004359B">
        <w:rPr>
          <w:rFonts w:ascii="Times New Roman" w:eastAsia="Calibri" w:hAnsi="Times New Roman" w:cs="Times New Roman"/>
          <w:sz w:val="24"/>
          <w:szCs w:val="28"/>
        </w:rPr>
        <w:t>.</w:t>
      </w:r>
      <w:r w:rsidRPr="00CF175C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="0004359B">
        <w:rPr>
          <w:rFonts w:ascii="Times New Roman" w:eastAsia="Calibri" w:hAnsi="Times New Roman" w:cs="Times New Roman"/>
          <w:sz w:val="24"/>
          <w:szCs w:val="28"/>
        </w:rPr>
        <w:t>2</w:t>
      </w:r>
      <w:r w:rsidRPr="00CF175C">
        <w:rPr>
          <w:rFonts w:ascii="Times New Roman" w:eastAsia="Calibri" w:hAnsi="Times New Roman" w:cs="Times New Roman"/>
          <w:sz w:val="24"/>
          <w:szCs w:val="28"/>
        </w:rPr>
        <w:t>.</w:t>
      </w:r>
      <w:r w:rsidRPr="00CF175C">
        <w:rPr>
          <w:rFonts w:ascii="Times New Roman" w:eastAsia="Calibri" w:hAnsi="Times New Roman" w:cs="Times New Roman"/>
          <w:b/>
          <w:sz w:val="24"/>
          <w:szCs w:val="28"/>
        </w:rPr>
        <w:t xml:space="preserve"> </w:t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Прогнозные значения размера рынка минеральных удобрений</w:t>
      </w:r>
      <w:r w:rsidR="0004359B">
        <w:rPr>
          <w:rFonts w:ascii="Times New Roman" w:eastAsia="Calibri" w:hAnsi="Times New Roman" w:cs="Times New Roman"/>
          <w:bCs/>
          <w:sz w:val="24"/>
          <w:szCs w:val="28"/>
        </w:rPr>
        <w:t xml:space="preserve"> </w:t>
      </w:r>
      <w:r w:rsidR="00541833">
        <w:rPr>
          <w:rFonts w:ascii="Times New Roman" w:eastAsia="Calibri" w:hAnsi="Times New Roman" w:cs="Times New Roman"/>
          <w:bCs/>
          <w:sz w:val="24"/>
          <w:szCs w:val="28"/>
        </w:rPr>
        <w:br/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и мирового ВВП до 2035 года</w:t>
      </w:r>
    </w:p>
    <w:p w14:paraId="54DAC631" w14:textId="73AF0585" w:rsidR="00CF175C" w:rsidRPr="00CF175C" w:rsidRDefault="0030080A" w:rsidP="0030080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iCs/>
          <w:sz w:val="20"/>
        </w:rPr>
      </w:pPr>
      <w:r w:rsidRPr="00C3761C">
        <w:rPr>
          <w:rFonts w:ascii="Times New Roman" w:eastAsia="Calibri" w:hAnsi="Times New Roman" w:cs="Times New Roman"/>
          <w:bCs/>
          <w:iCs/>
          <w:sz w:val="20"/>
        </w:rPr>
        <w:t>*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>Источник: рассчитано автор</w:t>
      </w:r>
      <w:r w:rsidRPr="00C3761C">
        <w:rPr>
          <w:rFonts w:ascii="Times New Roman" w:eastAsia="Calibri" w:hAnsi="Times New Roman" w:cs="Times New Roman"/>
          <w:bCs/>
          <w:iCs/>
          <w:sz w:val="20"/>
        </w:rPr>
        <w:t xml:space="preserve">ом 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>по данным marketresearch.com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  <w:vertAlign w:val="superscript"/>
        </w:rPr>
        <w:footnoteReference w:id="5"/>
      </w:r>
    </w:p>
    <w:p w14:paraId="67F21C44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Calibri" w:hAnsi="Times New Roman" w:cs="Times New Roman"/>
          <w:bCs/>
          <w:i/>
          <w:sz w:val="24"/>
          <w:szCs w:val="28"/>
        </w:rPr>
      </w:pPr>
    </w:p>
    <w:p w14:paraId="4E334E12" w14:textId="70F2345D" w:rsidR="00CF175C" w:rsidRPr="00CF175C" w:rsidRDefault="00CF175C" w:rsidP="00CF175C">
      <w:pPr>
        <w:widowControl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По данным </w:t>
      </w:r>
      <w:r w:rsidRPr="00CF175C">
        <w:rPr>
          <w:rFonts w:ascii="Times New Roman" w:eastAsia="Calibri" w:hAnsi="Times New Roman" w:cs="Times New Roman"/>
          <w:sz w:val="24"/>
          <w:szCs w:val="24"/>
          <w:lang w:val="en-US"/>
        </w:rPr>
        <w:t>International</w:t>
      </w: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175C">
        <w:rPr>
          <w:rFonts w:ascii="Times New Roman" w:eastAsia="Calibri" w:hAnsi="Times New Roman" w:cs="Times New Roman"/>
          <w:sz w:val="24"/>
          <w:szCs w:val="24"/>
          <w:lang w:val="en-US"/>
        </w:rPr>
        <w:t>Fertilizers</w:t>
      </w: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175C">
        <w:rPr>
          <w:rFonts w:ascii="Times New Roman" w:eastAsia="Calibri" w:hAnsi="Times New Roman" w:cs="Times New Roman"/>
          <w:sz w:val="24"/>
          <w:szCs w:val="24"/>
          <w:lang w:val="en-US"/>
        </w:rPr>
        <w:t>Association</w:t>
      </w: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Pr="00CF175C">
        <w:rPr>
          <w:rFonts w:ascii="Times New Roman" w:eastAsia="Calibri" w:hAnsi="Times New Roman" w:cs="Times New Roman"/>
          <w:sz w:val="24"/>
          <w:szCs w:val="24"/>
          <w:lang w:val="en-US"/>
        </w:rPr>
        <w:t>IFA</w:t>
      </w: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), наибольшим спросом среди потребителей пользуются азотные удобрения, их удельный вес в 2023 году достиг 60% от общего потребления при доле спроса на фосфорные и калийные удобрения в 25 и 15% соответственно. В сравнительном понимании, согласно данным на 1994 год, азотные удобрения использовались чуть реже – 55%, а фосфорные чаще – 25% </w:t>
      </w:r>
      <w:r w:rsidRPr="00CF175C">
        <w:rPr>
          <w:rFonts w:ascii="Times New Roman" w:eastAsia="Calibri" w:hAnsi="Times New Roman" w:cs="Times New Roman"/>
          <w:i/>
          <w:sz w:val="24"/>
          <w:szCs w:val="24"/>
        </w:rPr>
        <w:t xml:space="preserve">(рис. </w:t>
      </w:r>
      <w:r w:rsidR="0030080A">
        <w:rPr>
          <w:rFonts w:ascii="Times New Roman" w:eastAsia="Calibri" w:hAnsi="Times New Roman" w:cs="Times New Roman"/>
          <w:i/>
          <w:sz w:val="24"/>
          <w:szCs w:val="24"/>
        </w:rPr>
        <w:t>3</w:t>
      </w:r>
      <w:r w:rsidRPr="00CF175C">
        <w:rPr>
          <w:rFonts w:ascii="Times New Roman" w:eastAsia="Calibri" w:hAnsi="Times New Roman" w:cs="Times New Roman"/>
          <w:i/>
          <w:sz w:val="24"/>
          <w:szCs w:val="24"/>
        </w:rPr>
        <w:t>).</w:t>
      </w:r>
    </w:p>
    <w:p w14:paraId="2146DB90" w14:textId="77777777" w:rsidR="00CF175C" w:rsidRPr="00CF175C" w:rsidRDefault="00CF175C" w:rsidP="00CF175C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175C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3FB05D53" wp14:editId="265DA2D7">
            <wp:extent cx="6120000" cy="1836000"/>
            <wp:effectExtent l="0" t="0" r="0" b="0"/>
            <wp:docPr id="43" name="Диаграмма 43">
              <a:extLst xmlns:a="http://schemas.openxmlformats.org/drawingml/2006/main">
                <a:ext uri="{FF2B5EF4-FFF2-40B4-BE49-F238E27FC236}">
                  <a16:creationId xmlns:a16="http://schemas.microsoft.com/office/drawing/2014/main" id="{7996A5DC-CA30-43FE-A817-201AE539754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661E0AE" w14:textId="2F94F94A" w:rsidR="00CF175C" w:rsidRP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8"/>
        </w:rPr>
      </w:pPr>
      <w:r w:rsidRPr="00CF175C">
        <w:rPr>
          <w:rFonts w:ascii="Times New Roman" w:eastAsia="Calibri" w:hAnsi="Times New Roman" w:cs="Times New Roman"/>
          <w:sz w:val="24"/>
          <w:szCs w:val="28"/>
        </w:rPr>
        <w:t>Рис</w:t>
      </w:r>
      <w:r w:rsidR="0004359B">
        <w:rPr>
          <w:rFonts w:ascii="Times New Roman" w:eastAsia="Calibri" w:hAnsi="Times New Roman" w:cs="Times New Roman"/>
          <w:sz w:val="24"/>
          <w:szCs w:val="28"/>
        </w:rPr>
        <w:t>. 3.</w:t>
      </w:r>
      <w:r w:rsidRPr="00CF175C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Мировая структура спроса на удобрения в 1994 и 2023 годах, %</w:t>
      </w:r>
    </w:p>
    <w:p w14:paraId="63F543FB" w14:textId="5D720C05" w:rsidR="00CF175C" w:rsidRPr="00CF175C" w:rsidRDefault="003C7D1D" w:rsidP="003C7D1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Cs/>
          <w:sz w:val="20"/>
        </w:rPr>
      </w:pPr>
      <w:r w:rsidRPr="00C3761C">
        <w:rPr>
          <w:rFonts w:ascii="Times New Roman" w:eastAsia="Calibri" w:hAnsi="Times New Roman" w:cs="Times New Roman"/>
          <w:bCs/>
          <w:iCs/>
          <w:sz w:val="20"/>
        </w:rPr>
        <w:t>*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>Источник: составлено по данным международной ассоциации производителей минеральных удобрений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  <w:vertAlign w:val="superscript"/>
        </w:rPr>
        <w:footnoteReference w:id="6"/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>.</w:t>
      </w:r>
    </w:p>
    <w:p w14:paraId="533DED0B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Calibri" w:hAnsi="Times New Roman" w:cs="Times New Roman"/>
          <w:bCs/>
          <w:i/>
          <w:sz w:val="24"/>
          <w:szCs w:val="28"/>
        </w:rPr>
      </w:pPr>
    </w:p>
    <w:p w14:paraId="09BB9850" w14:textId="79E79458" w:rsidR="00CF175C" w:rsidRDefault="00CF175C" w:rsidP="00CF175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Структурно основными потребителями удобрений </w:t>
      </w:r>
      <w:r w:rsidRPr="00CF175C">
        <w:rPr>
          <w:rFonts w:ascii="Times New Roman" w:eastAsia="Calibri" w:hAnsi="Times New Roman" w:cs="Times New Roman"/>
          <w:i/>
          <w:sz w:val="24"/>
          <w:szCs w:val="24"/>
        </w:rPr>
        <w:t xml:space="preserve">(рис. </w:t>
      </w:r>
      <w:r w:rsidR="0030080A">
        <w:rPr>
          <w:rFonts w:ascii="Times New Roman" w:eastAsia="Calibri" w:hAnsi="Times New Roman" w:cs="Times New Roman"/>
          <w:i/>
          <w:sz w:val="24"/>
          <w:szCs w:val="24"/>
        </w:rPr>
        <w:t>4</w:t>
      </w:r>
      <w:r w:rsidRPr="00CF175C">
        <w:rPr>
          <w:rFonts w:ascii="Times New Roman" w:eastAsia="Calibri" w:hAnsi="Times New Roman" w:cs="Times New Roman"/>
          <w:i/>
          <w:sz w:val="24"/>
          <w:szCs w:val="24"/>
        </w:rPr>
        <w:t xml:space="preserve">) </w:t>
      </w:r>
      <w:r w:rsidRPr="00CF175C">
        <w:rPr>
          <w:rFonts w:ascii="Times New Roman" w:eastAsia="Calibri" w:hAnsi="Times New Roman" w:cs="Times New Roman"/>
          <w:sz w:val="24"/>
          <w:szCs w:val="24"/>
        </w:rPr>
        <w:t>как в 1994 г., так и в 2023 г. стали производители зерновых культур – для выращивания кукурузы, пшеницы и риса (47-48% от общего потребления). Доля масленичных культур в потреблении минеральных удобрений на 2023 г. достигла 23% (в 1994 г. – 18%), кормовых культур – 14% (в 1994 г. – 10%), овощей, фруктов и тропических культур – 15% (в 1994 г. – 25%).</w:t>
      </w:r>
    </w:p>
    <w:p w14:paraId="6F446AF5" w14:textId="77777777" w:rsidR="00066D3A" w:rsidRPr="00CF175C" w:rsidRDefault="00066D3A" w:rsidP="00066D3A">
      <w:pPr>
        <w:widowControl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>При этом с 2023 года наблюдается негативная тенденция наличия дефицита по вышеупомянутым продовольственным товарам. Так, в связи с целым рядом различных причин недостаточность выращивания пшеницы в мире оценена в 10–30 млн. тонн, кукурузы – в 50–80 млн. тонн, риса – в 10–20 млн. тонн, сои – примерно в 20–30 млн. тонн</w:t>
      </w:r>
      <w:r w:rsidRPr="00CF175C">
        <w:rPr>
          <w:rFonts w:ascii="Times New Roman" w:eastAsia="Calibri" w:hAnsi="Times New Roman" w:cs="Times New Roman"/>
          <w:sz w:val="24"/>
          <w:szCs w:val="24"/>
          <w:vertAlign w:val="superscript"/>
        </w:rPr>
        <w:footnoteReference w:id="7"/>
      </w:r>
      <w:r w:rsidRPr="00CF175C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432E33D" w14:textId="77777777" w:rsidR="00066D3A" w:rsidRPr="00CF175C" w:rsidRDefault="00066D3A" w:rsidP="00CF175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CCEFC51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CF175C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4B100654" wp14:editId="68AC90B7">
            <wp:extent cx="6120000" cy="1980000"/>
            <wp:effectExtent l="0" t="0" r="0" b="1270"/>
            <wp:docPr id="47" name="Диаграмма 47">
              <a:extLst xmlns:a="http://schemas.openxmlformats.org/drawingml/2006/main">
                <a:ext uri="{FF2B5EF4-FFF2-40B4-BE49-F238E27FC236}">
                  <a16:creationId xmlns:a16="http://schemas.microsoft.com/office/drawing/2014/main" id="{5E42D6BD-5831-4847-A44B-614A9569FE6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2BB2A5AA" w14:textId="4687A406" w:rsidR="00CF175C" w:rsidRP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8"/>
        </w:rPr>
      </w:pPr>
      <w:r w:rsidRPr="00CF175C">
        <w:rPr>
          <w:rFonts w:ascii="Times New Roman" w:eastAsia="Calibri" w:hAnsi="Times New Roman" w:cs="Times New Roman"/>
          <w:sz w:val="24"/>
          <w:szCs w:val="28"/>
        </w:rPr>
        <w:t>Рис</w:t>
      </w:r>
      <w:r w:rsidR="0030080A">
        <w:rPr>
          <w:rFonts w:ascii="Times New Roman" w:eastAsia="Calibri" w:hAnsi="Times New Roman" w:cs="Times New Roman"/>
          <w:sz w:val="24"/>
          <w:szCs w:val="28"/>
        </w:rPr>
        <w:t>.</w:t>
      </w:r>
      <w:r w:rsidRPr="00CF175C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="0004359B">
        <w:rPr>
          <w:rFonts w:ascii="Times New Roman" w:eastAsia="Calibri" w:hAnsi="Times New Roman" w:cs="Times New Roman"/>
          <w:sz w:val="24"/>
          <w:szCs w:val="28"/>
        </w:rPr>
        <w:t>4</w:t>
      </w:r>
      <w:r w:rsidRPr="00CF175C">
        <w:rPr>
          <w:rFonts w:ascii="Times New Roman" w:eastAsia="Calibri" w:hAnsi="Times New Roman" w:cs="Times New Roman"/>
          <w:sz w:val="24"/>
          <w:szCs w:val="28"/>
        </w:rPr>
        <w:t xml:space="preserve">. </w:t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Мировая структура потребления удобрений по сельскохозяйственным</w:t>
      </w:r>
      <w:r w:rsidR="0030080A">
        <w:rPr>
          <w:rFonts w:ascii="Times New Roman" w:eastAsia="Calibri" w:hAnsi="Times New Roman" w:cs="Times New Roman"/>
          <w:bCs/>
          <w:sz w:val="24"/>
          <w:szCs w:val="28"/>
        </w:rPr>
        <w:t xml:space="preserve"> </w:t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 xml:space="preserve">культурам </w:t>
      </w:r>
      <w:r w:rsidR="00541833">
        <w:rPr>
          <w:rFonts w:ascii="Times New Roman" w:eastAsia="Calibri" w:hAnsi="Times New Roman" w:cs="Times New Roman"/>
          <w:bCs/>
          <w:sz w:val="24"/>
          <w:szCs w:val="28"/>
        </w:rPr>
        <w:br/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в 1994 и 2023 году, %</w:t>
      </w:r>
    </w:p>
    <w:p w14:paraId="7F8A3682" w14:textId="6F4C4EA5" w:rsidR="00CF175C" w:rsidRPr="00C3761C" w:rsidRDefault="003C7D1D" w:rsidP="0030080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iCs/>
          <w:sz w:val="20"/>
        </w:rPr>
      </w:pPr>
      <w:r w:rsidRPr="00C3761C">
        <w:rPr>
          <w:rFonts w:ascii="Times New Roman" w:eastAsia="Calibri" w:hAnsi="Times New Roman" w:cs="Times New Roman"/>
          <w:bCs/>
          <w:iCs/>
          <w:sz w:val="20"/>
        </w:rPr>
        <w:t>*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 xml:space="preserve">Источник: составлено </w:t>
      </w:r>
      <w:r w:rsidR="0030080A" w:rsidRPr="00C3761C">
        <w:rPr>
          <w:rFonts w:ascii="Times New Roman" w:eastAsia="Calibri" w:hAnsi="Times New Roman" w:cs="Times New Roman"/>
          <w:bCs/>
          <w:iCs/>
          <w:sz w:val="20"/>
        </w:rPr>
        <w:t>автором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 xml:space="preserve"> по данным международной ассоциации производителей минеральных удобрений.</w:t>
      </w:r>
    </w:p>
    <w:p w14:paraId="0636979C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Calibri" w:hAnsi="Times New Roman" w:cs="Times New Roman"/>
          <w:bCs/>
          <w:i/>
          <w:sz w:val="24"/>
          <w:szCs w:val="28"/>
        </w:rPr>
      </w:pPr>
    </w:p>
    <w:p w14:paraId="3D7A9AB5" w14:textId="0A54CD18" w:rsidR="00CF175C" w:rsidRPr="00CF175C" w:rsidRDefault="00CF175C" w:rsidP="00CF175C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Производственная структура также подтверждает, что наиболее используемыми в сельском хозяйстве удобрениями являются азотные </w:t>
      </w:r>
      <w:r w:rsidRPr="00CF175C">
        <w:rPr>
          <w:rFonts w:ascii="Times New Roman" w:eastAsia="Calibri" w:hAnsi="Times New Roman" w:cs="Times New Roman"/>
          <w:i/>
          <w:iCs/>
          <w:sz w:val="24"/>
          <w:szCs w:val="24"/>
        </w:rPr>
        <w:t>(рис. </w:t>
      </w:r>
      <w:r w:rsidR="003C7D1D">
        <w:rPr>
          <w:rFonts w:ascii="Times New Roman" w:eastAsia="Calibri" w:hAnsi="Times New Roman" w:cs="Times New Roman"/>
          <w:i/>
          <w:iCs/>
          <w:sz w:val="24"/>
          <w:szCs w:val="24"/>
        </w:rPr>
        <w:t>5</w:t>
      </w:r>
      <w:r w:rsidRPr="00CF175C">
        <w:rPr>
          <w:rFonts w:ascii="Times New Roman" w:eastAsia="Calibri" w:hAnsi="Times New Roman" w:cs="Times New Roman"/>
          <w:i/>
          <w:iCs/>
          <w:sz w:val="24"/>
          <w:szCs w:val="24"/>
        </w:rPr>
        <w:t>)</w:t>
      </w:r>
      <w:r w:rsidRPr="00CF175C">
        <w:rPr>
          <w:rFonts w:ascii="Times New Roman" w:eastAsia="Calibri" w:hAnsi="Times New Roman" w:cs="Times New Roman"/>
          <w:sz w:val="24"/>
          <w:szCs w:val="24"/>
        </w:rPr>
        <w:t>. Потребление азота за 1965–2021 гг. выросло в 5,7 раза – с 19 до 109 млн. тонн, утроилось применение фосфата (с 16 до 48 млн. тонн) и калия (12 до 38 млн. тонн)</w:t>
      </w:r>
      <w:r w:rsidRPr="00CF175C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. </w:t>
      </w:r>
    </w:p>
    <w:p w14:paraId="238DF449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175C">
        <w:rPr>
          <w:rFonts w:ascii="Times New Roman" w:eastAsia="Calibri" w:hAnsi="Times New Roman" w:cs="Times New Roman"/>
          <w:noProof/>
          <w:sz w:val="28"/>
          <w:szCs w:val="28"/>
        </w:rPr>
        <w:drawing>
          <wp:inline distT="0" distB="0" distL="0" distR="0" wp14:anchorId="7770E0EF" wp14:editId="3E9A5DF8">
            <wp:extent cx="6120000" cy="1980000"/>
            <wp:effectExtent l="0" t="0" r="0" b="1270"/>
            <wp:docPr id="33" name="Диаграмма 33">
              <a:extLst xmlns:a="http://schemas.openxmlformats.org/drawingml/2006/main">
                <a:ext uri="{FF2B5EF4-FFF2-40B4-BE49-F238E27FC236}">
                  <a16:creationId xmlns:a16="http://schemas.microsoft.com/office/drawing/2014/main" id="{A59F0281-6ABE-4330-8A3F-53D8DBE085D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7E168E4" w14:textId="05BA04B1" w:rsidR="00CF175C" w:rsidRP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8"/>
        </w:rPr>
        <w:t>Рис</w:t>
      </w:r>
      <w:r w:rsidR="0030080A">
        <w:rPr>
          <w:rFonts w:ascii="Times New Roman" w:eastAsia="Calibri" w:hAnsi="Times New Roman" w:cs="Times New Roman"/>
          <w:sz w:val="24"/>
          <w:szCs w:val="28"/>
        </w:rPr>
        <w:t>. 5</w:t>
      </w:r>
      <w:r w:rsidRPr="00CF175C">
        <w:rPr>
          <w:rFonts w:ascii="Times New Roman" w:eastAsia="Calibri" w:hAnsi="Times New Roman" w:cs="Times New Roman"/>
          <w:sz w:val="24"/>
          <w:szCs w:val="28"/>
        </w:rPr>
        <w:t>.</w:t>
      </w:r>
      <w:r w:rsidRPr="00CF175C">
        <w:rPr>
          <w:rFonts w:ascii="Times New Roman" w:eastAsia="Calibri" w:hAnsi="Times New Roman" w:cs="Times New Roman"/>
          <w:b/>
          <w:sz w:val="24"/>
          <w:szCs w:val="28"/>
        </w:rPr>
        <w:t xml:space="preserve"> </w:t>
      </w:r>
      <w:r w:rsidRPr="00CF175C">
        <w:rPr>
          <w:rFonts w:ascii="Times New Roman" w:eastAsia="Calibri" w:hAnsi="Times New Roman" w:cs="Times New Roman"/>
          <w:sz w:val="24"/>
          <w:szCs w:val="24"/>
        </w:rPr>
        <w:t>Мировое потребление сельскохозяйственных удобрений по питательным веществам за 1965–2021 гг., млн. тонн</w:t>
      </w:r>
    </w:p>
    <w:p w14:paraId="3D81BA89" w14:textId="1A594F85" w:rsidR="00CF175C" w:rsidRPr="00CF175C" w:rsidRDefault="003C7D1D" w:rsidP="0030080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iCs/>
          <w:sz w:val="20"/>
        </w:rPr>
      </w:pPr>
      <w:r w:rsidRPr="00C3761C">
        <w:rPr>
          <w:rFonts w:ascii="Times New Roman" w:eastAsia="Calibri" w:hAnsi="Times New Roman" w:cs="Times New Roman"/>
          <w:bCs/>
          <w:iCs/>
          <w:sz w:val="20"/>
        </w:rPr>
        <w:t>*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>Источник: рассчитано автор</w:t>
      </w:r>
      <w:r w:rsidR="0030080A" w:rsidRPr="00C3761C">
        <w:rPr>
          <w:rFonts w:ascii="Times New Roman" w:eastAsia="Calibri" w:hAnsi="Times New Roman" w:cs="Times New Roman"/>
          <w:bCs/>
          <w:iCs/>
          <w:sz w:val="20"/>
        </w:rPr>
        <w:t>ом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 xml:space="preserve"> по данным statista.com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  <w:vertAlign w:val="superscript"/>
        </w:rPr>
        <w:footnoteReference w:id="8"/>
      </w:r>
    </w:p>
    <w:p w14:paraId="34DDED17" w14:textId="77777777" w:rsidR="00CF175C" w:rsidRPr="00CF175C" w:rsidRDefault="00CF175C" w:rsidP="00421DB8">
      <w:pPr>
        <w:spacing w:after="0" w:line="240" w:lineRule="auto"/>
        <w:jc w:val="both"/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376D450B" w14:textId="65D0842F" w:rsidR="00CF175C" w:rsidRPr="00CF175C" w:rsidRDefault="00CF175C" w:rsidP="00421DB8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CF175C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Ключевыми потребителями сельскохозяйственных удобрений в мире как в 1994 г., так и в 2023 г. стали страны Азии. Общее использование представленных питательных веществ (азот, фосфор и калий) составило 55 и 115 млн. тонн соответственно. Наименьшим потреблением удобрений отличается Океания – менее 2 млн. тонн. Наибольшие рост примирения удобрений характерен для стран Африки (более 3 раз). Европа, напротив, сократила потребление на 28% – до 18 млн. тонн </w:t>
      </w:r>
      <w:r w:rsidRPr="00CF175C">
        <w:rPr>
          <w:rFonts w:ascii="Times New Roman" w:eastAsia="Calibri" w:hAnsi="Times New Roman" w:cs="Times New Roman"/>
          <w:bCs/>
          <w:i/>
          <w:sz w:val="24"/>
          <w:szCs w:val="24"/>
        </w:rPr>
        <w:t>(рис. 6).</w:t>
      </w:r>
    </w:p>
    <w:p w14:paraId="75FE88E4" w14:textId="77777777" w:rsidR="00CF175C" w:rsidRPr="00CF175C" w:rsidRDefault="00CF175C" w:rsidP="00CF175C">
      <w:pPr>
        <w:spacing w:after="0" w:line="240" w:lineRule="auto"/>
        <w:jc w:val="both"/>
        <w:rPr>
          <w:rFonts w:ascii="Times New Roman" w:eastAsia="Calibri" w:hAnsi="Times New Roman" w:cs="Times New Roman"/>
          <w:bCs/>
          <w:i/>
          <w:sz w:val="28"/>
          <w:szCs w:val="32"/>
        </w:rPr>
      </w:pPr>
      <w:r w:rsidRPr="00CF175C">
        <w:rPr>
          <w:rFonts w:ascii="Times New Roman" w:eastAsia="Calibri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DD041A1" wp14:editId="071B0C4D">
            <wp:extent cx="6120000" cy="1980000"/>
            <wp:effectExtent l="0" t="0" r="0" b="1270"/>
            <wp:docPr id="53" name="Диаграмма 53">
              <a:extLst xmlns:a="http://schemas.openxmlformats.org/drawingml/2006/main">
                <a:ext uri="{FF2B5EF4-FFF2-40B4-BE49-F238E27FC236}">
                  <a16:creationId xmlns:a16="http://schemas.microsoft.com/office/drawing/2014/main" id="{82F1DDE1-7B23-48D4-B908-5E067C0D0A4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40D6811F" w14:textId="62D6F8C4" w:rsidR="00CF175C" w:rsidRPr="00CF175C" w:rsidRDefault="00CF175C" w:rsidP="00CF175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8"/>
        </w:rPr>
      </w:pPr>
      <w:r w:rsidRPr="00CF175C">
        <w:rPr>
          <w:rFonts w:ascii="Times New Roman" w:eastAsia="Calibri" w:hAnsi="Times New Roman" w:cs="Times New Roman"/>
          <w:sz w:val="24"/>
          <w:szCs w:val="28"/>
        </w:rPr>
        <w:t>Рис</w:t>
      </w:r>
      <w:r w:rsidR="003C7D1D">
        <w:rPr>
          <w:rFonts w:ascii="Times New Roman" w:eastAsia="Calibri" w:hAnsi="Times New Roman" w:cs="Times New Roman"/>
          <w:sz w:val="24"/>
          <w:szCs w:val="28"/>
        </w:rPr>
        <w:t xml:space="preserve">. </w:t>
      </w:r>
      <w:r w:rsidRPr="00CF175C">
        <w:rPr>
          <w:rFonts w:ascii="Times New Roman" w:eastAsia="Calibri" w:hAnsi="Times New Roman" w:cs="Times New Roman"/>
          <w:sz w:val="24"/>
          <w:szCs w:val="28"/>
        </w:rPr>
        <w:t>6.</w:t>
      </w:r>
      <w:r w:rsidRPr="00CF175C">
        <w:rPr>
          <w:rFonts w:ascii="Times New Roman" w:eastAsia="Calibri" w:hAnsi="Times New Roman" w:cs="Times New Roman"/>
          <w:b/>
          <w:sz w:val="24"/>
          <w:szCs w:val="28"/>
        </w:rPr>
        <w:t xml:space="preserve"> </w:t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Потребление сельскохозяйственных удобрений в мире (азот, фосфор и калий)</w:t>
      </w:r>
      <w:r w:rsidR="0030080A">
        <w:rPr>
          <w:rFonts w:ascii="Times New Roman" w:eastAsia="Calibri" w:hAnsi="Times New Roman" w:cs="Times New Roman"/>
          <w:bCs/>
          <w:sz w:val="24"/>
          <w:szCs w:val="28"/>
        </w:rPr>
        <w:t xml:space="preserve"> </w:t>
      </w:r>
      <w:r w:rsidRPr="00CF175C">
        <w:rPr>
          <w:rFonts w:ascii="Times New Roman" w:eastAsia="Calibri" w:hAnsi="Times New Roman" w:cs="Times New Roman"/>
          <w:bCs/>
          <w:sz w:val="24"/>
          <w:szCs w:val="28"/>
        </w:rPr>
        <w:t>по макрорегионам в 1994 и 2023 годах, млн. тонн</w:t>
      </w:r>
    </w:p>
    <w:p w14:paraId="00246A7E" w14:textId="6C126FD6" w:rsidR="00CF175C" w:rsidRPr="00CF175C" w:rsidRDefault="003C7D1D" w:rsidP="0030080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Cs/>
          <w:iCs/>
          <w:sz w:val="20"/>
        </w:rPr>
      </w:pPr>
      <w:r w:rsidRPr="00C3761C">
        <w:rPr>
          <w:rFonts w:ascii="Times New Roman" w:eastAsia="Calibri" w:hAnsi="Times New Roman" w:cs="Times New Roman"/>
          <w:bCs/>
          <w:iCs/>
          <w:sz w:val="20"/>
        </w:rPr>
        <w:t>*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>Источник: рассчитано автор</w:t>
      </w:r>
      <w:r w:rsidR="0030080A" w:rsidRPr="00C3761C">
        <w:rPr>
          <w:rFonts w:ascii="Times New Roman" w:eastAsia="Calibri" w:hAnsi="Times New Roman" w:cs="Times New Roman"/>
          <w:bCs/>
          <w:iCs/>
          <w:sz w:val="20"/>
        </w:rPr>
        <w:t>ом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</w:rPr>
        <w:t xml:space="preserve"> по данным statista.com</w:t>
      </w:r>
      <w:r w:rsidR="00CF175C" w:rsidRPr="00CF175C">
        <w:rPr>
          <w:rFonts w:ascii="Times New Roman" w:eastAsia="Calibri" w:hAnsi="Times New Roman" w:cs="Times New Roman"/>
          <w:bCs/>
          <w:iCs/>
          <w:sz w:val="20"/>
          <w:vertAlign w:val="superscript"/>
        </w:rPr>
        <w:footnoteReference w:id="9"/>
      </w:r>
    </w:p>
    <w:p w14:paraId="10160A4A" w14:textId="77777777" w:rsidR="00CF175C" w:rsidRPr="00CF175C" w:rsidRDefault="00CF175C" w:rsidP="00421DB8">
      <w:pPr>
        <w:spacing w:after="0" w:line="240" w:lineRule="auto"/>
        <w:jc w:val="both"/>
        <w:rPr>
          <w:rFonts w:ascii="Times New Roman" w:eastAsia="Calibri" w:hAnsi="Times New Roman" w:cs="Times New Roman"/>
          <w:bCs/>
          <w:i/>
          <w:sz w:val="24"/>
          <w:szCs w:val="28"/>
        </w:rPr>
      </w:pPr>
    </w:p>
    <w:p w14:paraId="5A1AABFE" w14:textId="1E5B821A" w:rsidR="00CF175C" w:rsidRPr="00CF175C" w:rsidRDefault="00CF175C" w:rsidP="00421DB8">
      <w:pPr>
        <w:widowControl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В силу ухудшения обеспеченности населения продовольственными товарами в глобальном масштабе необходимость развития сегмента минеральных удобрений поддерживается на международном уровне в ключевых докладах и прогнозах. На протяжении нескольких лет подряд </w:t>
      </w:r>
      <w:r w:rsidRPr="00CF1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Всемирный банк в своем ежегодном докладе по продовольственной безопасности называет в числе серьезных препятствий производства продовольствия недостаточную доступность удобрений из-за роста цен на них, особенно в странах с низким уровнем дохода. Аналогичная причина фигурирует и в </w:t>
      </w:r>
      <w:r w:rsidRPr="00CF175C">
        <w:rPr>
          <w:rFonts w:ascii="Times New Roman" w:eastAsia="Calibri" w:hAnsi="Times New Roman" w:cs="Times New Roman"/>
          <w:sz w:val="24"/>
          <w:szCs w:val="24"/>
        </w:rPr>
        <w:t>докладе Евразийского банка развития, спрогнозировавшего продолжительный период высоких цен на продовольствие под давлением высоких цен на удобрения</w:t>
      </w:r>
      <w:r w:rsidRPr="00CF175C">
        <w:rPr>
          <w:rFonts w:ascii="Times New Roman" w:eastAsia="Calibri" w:hAnsi="Times New Roman" w:cs="Times New Roman"/>
          <w:sz w:val="24"/>
          <w:szCs w:val="24"/>
          <w:vertAlign w:val="superscript"/>
        </w:rPr>
        <w:footnoteReference w:id="10"/>
      </w:r>
      <w:r w:rsidRPr="00CF175C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4D4AE2AA" w14:textId="77777777" w:rsidR="00CF175C" w:rsidRDefault="00CF175C" w:rsidP="00A2590A">
      <w:pPr>
        <w:pStyle w:val="a9"/>
        <w:ind w:firstLine="709"/>
        <w:jc w:val="both"/>
        <w:rPr>
          <w:rFonts w:ascii="Times New Roman" w:eastAsia="FangSong_GB2312" w:hAnsi="Times New Roman" w:cs="Times New Roman"/>
          <w:sz w:val="24"/>
          <w:szCs w:val="24"/>
        </w:rPr>
      </w:pPr>
    </w:p>
    <w:p w14:paraId="6EBB9F28" w14:textId="77777777" w:rsidR="00827E82" w:rsidRPr="00B35BE2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5BE2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1CF2C3F1" w14:textId="77777777" w:rsidR="0030080A" w:rsidRDefault="0030080A" w:rsidP="00B67D24">
      <w:pPr>
        <w:pStyle w:val="ac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0080A">
        <w:rPr>
          <w:rFonts w:ascii="Times New Roman" w:eastAsia="Calibri" w:hAnsi="Times New Roman" w:cs="Times New Roman"/>
          <w:sz w:val="24"/>
          <w:szCs w:val="24"/>
        </w:rPr>
        <w:t>Либих Ю. Химия в приложении к земледелию и физиологии. Москва-Ленинград: Государственное издательство колхозной и совхозной литературы «</w:t>
      </w:r>
      <w:proofErr w:type="spellStart"/>
      <w:r w:rsidRPr="0030080A">
        <w:rPr>
          <w:rFonts w:ascii="Times New Roman" w:eastAsia="Calibri" w:hAnsi="Times New Roman" w:cs="Times New Roman"/>
          <w:sz w:val="24"/>
          <w:szCs w:val="24"/>
        </w:rPr>
        <w:t>Сельхозгиз</w:t>
      </w:r>
      <w:proofErr w:type="spellEnd"/>
      <w:r w:rsidRPr="0030080A">
        <w:rPr>
          <w:rFonts w:ascii="Times New Roman" w:eastAsia="Calibri" w:hAnsi="Times New Roman" w:cs="Times New Roman"/>
          <w:sz w:val="24"/>
          <w:szCs w:val="24"/>
        </w:rPr>
        <w:t>», 1936. 406 с.</w:t>
      </w:r>
    </w:p>
    <w:p w14:paraId="25243630" w14:textId="2A643D78" w:rsidR="0030080A" w:rsidRDefault="0030080A" w:rsidP="0030080A">
      <w:pPr>
        <w:pStyle w:val="ac"/>
        <w:numPr>
          <w:ilvl w:val="0"/>
          <w:numId w:val="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30080A">
        <w:rPr>
          <w:rFonts w:ascii="Times New Roman" w:eastAsia="Calibri" w:hAnsi="Times New Roman" w:cs="Times New Roman"/>
          <w:sz w:val="24"/>
          <w:szCs w:val="24"/>
        </w:rPr>
        <w:t>Потетня</w:t>
      </w:r>
      <w:proofErr w:type="spellEnd"/>
      <w:r w:rsidRPr="0030080A">
        <w:rPr>
          <w:rFonts w:ascii="Times New Roman" w:eastAsia="Calibri" w:hAnsi="Times New Roman" w:cs="Times New Roman"/>
          <w:sz w:val="24"/>
          <w:szCs w:val="24"/>
        </w:rPr>
        <w:t xml:space="preserve"> К.М., Садов А.А., </w:t>
      </w:r>
      <w:proofErr w:type="spellStart"/>
      <w:r w:rsidRPr="0030080A">
        <w:rPr>
          <w:rFonts w:ascii="Times New Roman" w:eastAsia="Calibri" w:hAnsi="Times New Roman" w:cs="Times New Roman"/>
          <w:sz w:val="24"/>
          <w:szCs w:val="24"/>
        </w:rPr>
        <w:t>Вырова</w:t>
      </w:r>
      <w:proofErr w:type="spellEnd"/>
      <w:r w:rsidRPr="0030080A">
        <w:rPr>
          <w:rFonts w:ascii="Times New Roman" w:eastAsia="Calibri" w:hAnsi="Times New Roman" w:cs="Times New Roman"/>
          <w:sz w:val="24"/>
          <w:szCs w:val="24"/>
        </w:rPr>
        <w:t xml:space="preserve"> О.М., Панков Ю.В. Роль и виды удобрений в сельском хозяйстве // Научно-технический вестник: Технические системы в АПК. 2019. № 5(5). С. 25-33.</w:t>
      </w:r>
    </w:p>
    <w:sectPr w:rsidR="0030080A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36502" w14:textId="77777777" w:rsidR="00D010E4" w:rsidRDefault="00D010E4" w:rsidP="00827E82">
      <w:pPr>
        <w:spacing w:after="0" w:line="240" w:lineRule="auto"/>
      </w:pPr>
      <w:r>
        <w:separator/>
      </w:r>
    </w:p>
  </w:endnote>
  <w:endnote w:type="continuationSeparator" w:id="0">
    <w:p w14:paraId="56238F7E" w14:textId="77777777" w:rsidR="00D010E4" w:rsidRDefault="00D010E4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FangSong_GB2312">
    <w:altName w:val="Microsoft YaHei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D0E78" w14:textId="77777777" w:rsidR="00D010E4" w:rsidRDefault="00D010E4" w:rsidP="00827E82">
      <w:pPr>
        <w:spacing w:after="0" w:line="240" w:lineRule="auto"/>
      </w:pPr>
      <w:r>
        <w:separator/>
      </w:r>
    </w:p>
  </w:footnote>
  <w:footnote w:type="continuationSeparator" w:id="0">
    <w:p w14:paraId="5CAE568F" w14:textId="77777777" w:rsidR="00D010E4" w:rsidRDefault="00D010E4" w:rsidP="00827E82">
      <w:pPr>
        <w:spacing w:after="0" w:line="240" w:lineRule="auto"/>
      </w:pPr>
      <w:r>
        <w:continuationSeparator/>
      </w:r>
    </w:p>
  </w:footnote>
  <w:footnote w:id="1">
    <w:p w14:paraId="764E985E" w14:textId="526E3046" w:rsidR="00295ADF" w:rsidRPr="00CF175C" w:rsidRDefault="00295ADF" w:rsidP="00CF175C">
      <w:pPr>
        <w:pStyle w:val="a4"/>
        <w:jc w:val="both"/>
        <w:rPr>
          <w:rFonts w:ascii="Times New Roman" w:hAnsi="Times New Roman" w:cs="Times New Roman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</w:rPr>
        <w:t xml:space="preserve"> Малышев Михаил Константинович – научный сотрудник Центра финансовых исследований, ФГБУН Вологодский научный центр РАН, (Адрес: 160014, Вологда, ул. Горького 56а; E-mail: </w:t>
      </w:r>
      <w:proofErr w:type="spellStart"/>
      <w:r w:rsidRPr="00CF175C">
        <w:rPr>
          <w:rFonts w:ascii="Times New Roman" w:hAnsi="Times New Roman" w:cs="Times New Roman"/>
          <w:lang w:val="en-US"/>
        </w:rPr>
        <w:t>mmk</w:t>
      </w:r>
      <w:proofErr w:type="spellEnd"/>
      <w:r w:rsidRPr="00CF175C">
        <w:rPr>
          <w:rFonts w:ascii="Times New Roman" w:hAnsi="Times New Roman" w:cs="Times New Roman"/>
        </w:rPr>
        <w:t>1995@</w:t>
      </w:r>
      <w:r w:rsidRPr="00CF175C">
        <w:rPr>
          <w:rFonts w:ascii="Times New Roman" w:hAnsi="Times New Roman" w:cs="Times New Roman"/>
          <w:lang w:val="en-US"/>
        </w:rPr>
        <w:t>mail</w:t>
      </w:r>
      <w:r w:rsidRPr="00CF175C">
        <w:rPr>
          <w:rFonts w:ascii="Times New Roman" w:hAnsi="Times New Roman" w:cs="Times New Roman"/>
        </w:rPr>
        <w:t>.</w:t>
      </w:r>
      <w:proofErr w:type="spellStart"/>
      <w:r w:rsidRPr="00CF175C">
        <w:rPr>
          <w:rFonts w:ascii="Times New Roman" w:hAnsi="Times New Roman" w:cs="Times New Roman"/>
          <w:lang w:val="en-US"/>
        </w:rPr>
        <w:t>ru</w:t>
      </w:r>
      <w:proofErr w:type="spellEnd"/>
      <w:r w:rsidRPr="00CF175C">
        <w:rPr>
          <w:rFonts w:ascii="Times New Roman" w:hAnsi="Times New Roman" w:cs="Times New Roman"/>
        </w:rPr>
        <w:t>).</w:t>
      </w:r>
    </w:p>
  </w:footnote>
  <w:footnote w:id="2">
    <w:p w14:paraId="08B87D20" w14:textId="7BFE7751" w:rsidR="00BA3C29" w:rsidRPr="00CF175C" w:rsidRDefault="00BA3C29" w:rsidP="00CF175C">
      <w:pPr>
        <w:pStyle w:val="a4"/>
        <w:jc w:val="both"/>
        <w:rPr>
          <w:rFonts w:ascii="Times New Roman" w:hAnsi="Times New Roman" w:cs="Times New Roman"/>
        </w:rPr>
      </w:pPr>
      <w:r w:rsidRPr="002773B3">
        <w:rPr>
          <w:rStyle w:val="a3"/>
          <w:rFonts w:ascii="Times New Roman" w:hAnsi="Times New Roman" w:cs="Times New Roman"/>
        </w:rPr>
        <w:footnoteRef/>
      </w:r>
      <w:r w:rsidRPr="002773B3">
        <w:rPr>
          <w:rFonts w:ascii="Times New Roman" w:hAnsi="Times New Roman" w:cs="Times New Roman"/>
        </w:rPr>
        <w:t xml:space="preserve"> Статья подготовлена в соответствии </w:t>
      </w:r>
      <w:r w:rsidR="002773B3">
        <w:rPr>
          <w:rFonts w:ascii="Times New Roman" w:hAnsi="Times New Roman" w:cs="Times New Roman"/>
        </w:rPr>
        <w:t xml:space="preserve">с </w:t>
      </w:r>
      <w:r w:rsidR="002773B3" w:rsidRPr="005036B0">
        <w:rPr>
          <w:rFonts w:ascii="Times New Roman" w:hAnsi="Times New Roman" w:cs="Times New Roman"/>
        </w:rPr>
        <w:t xml:space="preserve">государственным заданием для ФГБУН </w:t>
      </w:r>
      <w:proofErr w:type="spellStart"/>
      <w:r w:rsidR="002773B3" w:rsidRPr="005036B0">
        <w:rPr>
          <w:rFonts w:ascii="Times New Roman" w:hAnsi="Times New Roman" w:cs="Times New Roman"/>
        </w:rPr>
        <w:t>ВолНЦ</w:t>
      </w:r>
      <w:proofErr w:type="spellEnd"/>
      <w:r w:rsidR="002773B3" w:rsidRPr="005036B0">
        <w:rPr>
          <w:rFonts w:ascii="Times New Roman" w:hAnsi="Times New Roman" w:cs="Times New Roman"/>
        </w:rPr>
        <w:t xml:space="preserve"> РАН по теме</w:t>
      </w:r>
      <w:r w:rsidR="002773B3" w:rsidRPr="007450CA">
        <w:rPr>
          <w:rFonts w:ascii="Times New Roman" w:hAnsi="Times New Roman" w:cs="Times New Roman"/>
        </w:rPr>
        <w:t xml:space="preserve"> </w:t>
      </w:r>
      <w:r w:rsidR="002773B3" w:rsidRPr="005036B0">
        <w:rPr>
          <w:rFonts w:ascii="Times New Roman" w:hAnsi="Times New Roman" w:cs="Times New Roman"/>
        </w:rPr>
        <w:t>НИР №</w:t>
      </w:r>
      <w:r w:rsidR="002773B3" w:rsidRPr="002B6EA4">
        <w:rPr>
          <w:rFonts w:ascii="Times New Roman" w:hAnsi="Times New Roman" w:cs="Times New Roman"/>
        </w:rPr>
        <w:t xml:space="preserve"> FMGZ-2025-0011</w:t>
      </w:r>
      <w:r w:rsidR="002773B3">
        <w:rPr>
          <w:rFonts w:ascii="Times New Roman" w:hAnsi="Times New Roman" w:cs="Times New Roman"/>
        </w:rPr>
        <w:t xml:space="preserve"> «О</w:t>
      </w:r>
      <w:r w:rsidR="002773B3" w:rsidRPr="002B6EA4">
        <w:rPr>
          <w:rFonts w:ascii="Times New Roman" w:hAnsi="Times New Roman" w:cs="Times New Roman"/>
        </w:rPr>
        <w:t>беспечение устойчивости экономики регионов в контексте укрепления технологического суверенитета и национальной безопасности</w:t>
      </w:r>
      <w:r w:rsidR="002773B3">
        <w:rPr>
          <w:rFonts w:ascii="Times New Roman" w:hAnsi="Times New Roman" w:cs="Times New Roman"/>
        </w:rPr>
        <w:t>».</w:t>
      </w:r>
    </w:p>
  </w:footnote>
  <w:footnote w:id="3">
    <w:p w14:paraId="7DE7D765" w14:textId="77777777" w:rsidR="00CF175C" w:rsidRPr="00541833" w:rsidRDefault="00CF175C" w:rsidP="00541833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</w:rPr>
        <w:t xml:space="preserve"> «Альтернатива химическим препаратам»: директор ВНИИ агрохимии – о новых удобрениях и об инновациях в </w:t>
      </w:r>
      <w:r w:rsidRPr="00541833">
        <w:rPr>
          <w:rFonts w:ascii="Times New Roman" w:hAnsi="Times New Roman" w:cs="Times New Roman"/>
        </w:rPr>
        <w:t xml:space="preserve">сельском хозяйстве. </w:t>
      </w:r>
      <w:r w:rsidRPr="00541833">
        <w:rPr>
          <w:rFonts w:ascii="Times New Roman" w:hAnsi="Times New Roman" w:cs="Times New Roman"/>
          <w:lang w:val="en-US"/>
        </w:rPr>
        <w:t>URL: https://russian.rt.com/science/article/1004211-rossiya-udobreniya-agrohimiya-intervyu</w:t>
      </w:r>
    </w:p>
  </w:footnote>
  <w:footnote w:id="4">
    <w:p w14:paraId="586A29B0" w14:textId="7339D1D9" w:rsidR="00541833" w:rsidRPr="00541833" w:rsidRDefault="00541833" w:rsidP="00541833">
      <w:pPr>
        <w:pStyle w:val="a4"/>
        <w:jc w:val="both"/>
        <w:rPr>
          <w:lang w:val="en-US"/>
        </w:rPr>
      </w:pPr>
      <w:r w:rsidRPr="00541833">
        <w:rPr>
          <w:rStyle w:val="a3"/>
          <w:rFonts w:ascii="Times New Roman" w:hAnsi="Times New Roman" w:cs="Times New Roman"/>
        </w:rPr>
        <w:footnoteRef/>
      </w:r>
      <w:r w:rsidRPr="00541833">
        <w:rPr>
          <w:rFonts w:ascii="Times New Roman" w:hAnsi="Times New Roman" w:cs="Times New Roman"/>
          <w:lang w:val="en-US"/>
        </w:rPr>
        <w:t xml:space="preserve"> Statista – Fertilizers Market Size Worldwide. URL: https://www.statista.com/statistics/1020661/global-fertilizers-market-size; Statista – Agriculture Market Size Worldwide. URL: https://www.statista.com/statistics/1019962/agriculture-market-size-worldwide/</w:t>
      </w:r>
    </w:p>
  </w:footnote>
  <w:footnote w:id="5">
    <w:p w14:paraId="423F48C2" w14:textId="77777777" w:rsidR="00CF175C" w:rsidRPr="00CF175C" w:rsidRDefault="00CF175C" w:rsidP="00CF175C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  <w:lang w:val="en-US"/>
        </w:rPr>
        <w:t> Grand View Research. URL: https://www.marketresearch.com/Grand-View-Research-v4060/</w:t>
      </w:r>
    </w:p>
  </w:footnote>
  <w:footnote w:id="6">
    <w:p w14:paraId="10D7191D" w14:textId="77777777" w:rsidR="00CF175C" w:rsidRPr="00CF175C" w:rsidRDefault="00CF175C" w:rsidP="00CF175C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  <w:lang w:val="en-US"/>
        </w:rPr>
        <w:t> International Fertilizer Industry Association. URL: https://www.fertilizer.org/</w:t>
      </w:r>
    </w:p>
  </w:footnote>
  <w:footnote w:id="7">
    <w:p w14:paraId="2EC82401" w14:textId="77777777" w:rsidR="00066D3A" w:rsidRPr="00CF175C" w:rsidRDefault="00066D3A" w:rsidP="00066D3A">
      <w:pPr>
        <w:pStyle w:val="a4"/>
        <w:jc w:val="both"/>
        <w:rPr>
          <w:rFonts w:ascii="Times New Roman" w:hAnsi="Times New Roman" w:cs="Times New Roman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</w:rPr>
        <w:t xml:space="preserve"> Публикуемая ФАО сводка предложения зерновых и спроса на зерновые. </w:t>
      </w:r>
      <w:r w:rsidRPr="00CF175C">
        <w:rPr>
          <w:rFonts w:ascii="Times New Roman" w:hAnsi="Times New Roman" w:cs="Times New Roman"/>
          <w:lang w:val="en-US"/>
        </w:rPr>
        <w:t>URL</w:t>
      </w:r>
      <w:r w:rsidRPr="00CF175C">
        <w:rPr>
          <w:rFonts w:ascii="Times New Roman" w:hAnsi="Times New Roman" w:cs="Times New Roman"/>
        </w:rPr>
        <w:t xml:space="preserve">: </w:t>
      </w:r>
      <w:r w:rsidRPr="00CF175C">
        <w:rPr>
          <w:rFonts w:ascii="Times New Roman" w:hAnsi="Times New Roman" w:cs="Times New Roman"/>
          <w:lang w:val="en-US"/>
        </w:rPr>
        <w:t>https</w:t>
      </w:r>
      <w:r w:rsidRPr="00CF175C">
        <w:rPr>
          <w:rFonts w:ascii="Times New Roman" w:hAnsi="Times New Roman" w:cs="Times New Roman"/>
        </w:rPr>
        <w:t>://</w:t>
      </w:r>
      <w:r w:rsidRPr="00CF175C">
        <w:rPr>
          <w:rFonts w:ascii="Times New Roman" w:hAnsi="Times New Roman" w:cs="Times New Roman"/>
          <w:lang w:val="en-US"/>
        </w:rPr>
        <w:t>www</w:t>
      </w:r>
      <w:r w:rsidRPr="00CF175C">
        <w:rPr>
          <w:rFonts w:ascii="Times New Roman" w:hAnsi="Times New Roman" w:cs="Times New Roman"/>
        </w:rPr>
        <w:t>.</w:t>
      </w:r>
      <w:proofErr w:type="spellStart"/>
      <w:r w:rsidRPr="00CF175C">
        <w:rPr>
          <w:rFonts w:ascii="Times New Roman" w:hAnsi="Times New Roman" w:cs="Times New Roman"/>
          <w:lang w:val="en-US"/>
        </w:rPr>
        <w:t>fao</w:t>
      </w:r>
      <w:proofErr w:type="spellEnd"/>
      <w:r w:rsidRPr="00CF175C">
        <w:rPr>
          <w:rFonts w:ascii="Times New Roman" w:hAnsi="Times New Roman" w:cs="Times New Roman"/>
        </w:rPr>
        <w:t>.</w:t>
      </w:r>
      <w:r w:rsidRPr="00CF175C">
        <w:rPr>
          <w:rFonts w:ascii="Times New Roman" w:hAnsi="Times New Roman" w:cs="Times New Roman"/>
          <w:lang w:val="en-US"/>
        </w:rPr>
        <w:t>org</w:t>
      </w:r>
      <w:r w:rsidRPr="00CF175C">
        <w:rPr>
          <w:rFonts w:ascii="Times New Roman" w:hAnsi="Times New Roman" w:cs="Times New Roman"/>
        </w:rPr>
        <w:t>/</w:t>
      </w:r>
      <w:proofErr w:type="spellStart"/>
      <w:r w:rsidRPr="00CF175C">
        <w:rPr>
          <w:rFonts w:ascii="Times New Roman" w:hAnsi="Times New Roman" w:cs="Times New Roman"/>
          <w:lang w:val="en-US"/>
        </w:rPr>
        <w:t>worldfoodsituation</w:t>
      </w:r>
      <w:proofErr w:type="spellEnd"/>
      <w:r w:rsidRPr="00CF175C">
        <w:rPr>
          <w:rFonts w:ascii="Times New Roman" w:hAnsi="Times New Roman" w:cs="Times New Roman"/>
        </w:rPr>
        <w:t>/</w:t>
      </w:r>
      <w:proofErr w:type="spellStart"/>
      <w:r w:rsidRPr="00CF175C">
        <w:rPr>
          <w:rFonts w:ascii="Times New Roman" w:hAnsi="Times New Roman" w:cs="Times New Roman"/>
          <w:lang w:val="en-US"/>
        </w:rPr>
        <w:t>csdb</w:t>
      </w:r>
      <w:proofErr w:type="spellEnd"/>
      <w:r w:rsidRPr="00CF175C">
        <w:rPr>
          <w:rFonts w:ascii="Times New Roman" w:hAnsi="Times New Roman" w:cs="Times New Roman"/>
        </w:rPr>
        <w:t>/</w:t>
      </w:r>
      <w:proofErr w:type="spellStart"/>
      <w:r w:rsidRPr="00CF175C">
        <w:rPr>
          <w:rFonts w:ascii="Times New Roman" w:hAnsi="Times New Roman" w:cs="Times New Roman"/>
          <w:lang w:val="en-US"/>
        </w:rPr>
        <w:t>ru</w:t>
      </w:r>
      <w:proofErr w:type="spellEnd"/>
      <w:r w:rsidRPr="00CF175C">
        <w:rPr>
          <w:rFonts w:ascii="Times New Roman" w:hAnsi="Times New Roman" w:cs="Times New Roman"/>
        </w:rPr>
        <w:t>/</w:t>
      </w:r>
    </w:p>
  </w:footnote>
  <w:footnote w:id="8">
    <w:p w14:paraId="1016F62A" w14:textId="77777777" w:rsidR="00CF175C" w:rsidRPr="00CF175C" w:rsidRDefault="00CF175C" w:rsidP="00CF175C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</w:rPr>
        <w:t xml:space="preserve"> Мировое потребление сельскохозяйственных удобрений с 1965 по 2021 год по питательным веществам. </w:t>
      </w:r>
      <w:r w:rsidRPr="00CF175C">
        <w:rPr>
          <w:rFonts w:ascii="Times New Roman" w:hAnsi="Times New Roman" w:cs="Times New Roman"/>
          <w:lang w:val="en-US"/>
        </w:rPr>
        <w:t>URL: https://www.statista.com/statistics/438967/fertilizer-consumption-globally-by-nutrient/</w:t>
      </w:r>
    </w:p>
  </w:footnote>
  <w:footnote w:id="9">
    <w:p w14:paraId="6103FA01" w14:textId="77777777" w:rsidR="00CF175C" w:rsidRPr="00CF175C" w:rsidRDefault="00CF175C" w:rsidP="00CF175C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</w:rPr>
        <w:t xml:space="preserve"> Потребление сельскохозяйственных удобрений в мире по питательным веществам и регионам. </w:t>
      </w:r>
      <w:r w:rsidRPr="00CF175C">
        <w:rPr>
          <w:rFonts w:ascii="Times New Roman" w:hAnsi="Times New Roman" w:cs="Times New Roman"/>
          <w:lang w:val="en-US"/>
        </w:rPr>
        <w:t>URL: https://www.statista.com/statistics/1265868/global-fertilizer-consumption-by-nutrient-and-region/</w:t>
      </w:r>
    </w:p>
  </w:footnote>
  <w:footnote w:id="10">
    <w:p w14:paraId="00451222" w14:textId="77777777" w:rsidR="00CF175C" w:rsidRPr="00CF175C" w:rsidRDefault="00CF175C" w:rsidP="00CF175C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CF175C">
        <w:rPr>
          <w:rStyle w:val="a3"/>
          <w:rFonts w:ascii="Times New Roman" w:hAnsi="Times New Roman" w:cs="Times New Roman"/>
        </w:rPr>
        <w:footnoteRef/>
      </w:r>
      <w:r w:rsidRPr="00CF175C">
        <w:rPr>
          <w:rFonts w:ascii="Times New Roman" w:hAnsi="Times New Roman" w:cs="Times New Roman"/>
        </w:rPr>
        <w:t xml:space="preserve"> Продовольственная безопасность и раскрытие агропромышленного потенциала Евразийского региона. </w:t>
      </w:r>
      <w:r w:rsidRPr="00CF175C">
        <w:rPr>
          <w:rFonts w:ascii="Times New Roman" w:hAnsi="Times New Roman" w:cs="Times New Roman"/>
          <w:lang w:val="en-US"/>
        </w:rPr>
        <w:t>URL: https://eabr.org/analytics/special-reports/prodovolstvennaya-bezopasnost-i-raskrytie-agropromyshlennogo-potentsiala-evraziyskogo-regiona/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0E48FF"/>
    <w:multiLevelType w:val="hybridMultilevel"/>
    <w:tmpl w:val="679661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4359B"/>
    <w:rsid w:val="00046B80"/>
    <w:rsid w:val="00066D3A"/>
    <w:rsid w:val="00071B6A"/>
    <w:rsid w:val="00093BEC"/>
    <w:rsid w:val="000A3175"/>
    <w:rsid w:val="000B06E7"/>
    <w:rsid w:val="00116F2D"/>
    <w:rsid w:val="00126F6A"/>
    <w:rsid w:val="001658D4"/>
    <w:rsid w:val="00186CB0"/>
    <w:rsid w:val="0019574D"/>
    <w:rsid w:val="00196AC3"/>
    <w:rsid w:val="001A270B"/>
    <w:rsid w:val="001B5953"/>
    <w:rsid w:val="00253787"/>
    <w:rsid w:val="00272D7D"/>
    <w:rsid w:val="002773B3"/>
    <w:rsid w:val="00287F75"/>
    <w:rsid w:val="00295ADF"/>
    <w:rsid w:val="002C7409"/>
    <w:rsid w:val="002D02A8"/>
    <w:rsid w:val="002F0848"/>
    <w:rsid w:val="0030080A"/>
    <w:rsid w:val="00303FDC"/>
    <w:rsid w:val="00353244"/>
    <w:rsid w:val="003A3697"/>
    <w:rsid w:val="003B535B"/>
    <w:rsid w:val="003C7D1D"/>
    <w:rsid w:val="003D4FFF"/>
    <w:rsid w:val="003F0E02"/>
    <w:rsid w:val="004071D7"/>
    <w:rsid w:val="00420436"/>
    <w:rsid w:val="00421DB8"/>
    <w:rsid w:val="00440626"/>
    <w:rsid w:val="0044325D"/>
    <w:rsid w:val="00457679"/>
    <w:rsid w:val="004C7C37"/>
    <w:rsid w:val="004E0C7B"/>
    <w:rsid w:val="00537D2F"/>
    <w:rsid w:val="00541833"/>
    <w:rsid w:val="0056279E"/>
    <w:rsid w:val="00590F6E"/>
    <w:rsid w:val="005A5E3E"/>
    <w:rsid w:val="005E5F47"/>
    <w:rsid w:val="005F5AF9"/>
    <w:rsid w:val="00625C7F"/>
    <w:rsid w:val="006300C2"/>
    <w:rsid w:val="00641FDA"/>
    <w:rsid w:val="00644F83"/>
    <w:rsid w:val="00684349"/>
    <w:rsid w:val="006858F7"/>
    <w:rsid w:val="00697FEE"/>
    <w:rsid w:val="006A1328"/>
    <w:rsid w:val="006A4FAC"/>
    <w:rsid w:val="006D61A5"/>
    <w:rsid w:val="007205B2"/>
    <w:rsid w:val="00743929"/>
    <w:rsid w:val="00750ED8"/>
    <w:rsid w:val="00767726"/>
    <w:rsid w:val="00770F50"/>
    <w:rsid w:val="00787640"/>
    <w:rsid w:val="00797DAF"/>
    <w:rsid w:val="007C5690"/>
    <w:rsid w:val="007D79E0"/>
    <w:rsid w:val="00827E82"/>
    <w:rsid w:val="008337D1"/>
    <w:rsid w:val="00854770"/>
    <w:rsid w:val="00886A64"/>
    <w:rsid w:val="008A2182"/>
    <w:rsid w:val="008C6FD4"/>
    <w:rsid w:val="008C75C1"/>
    <w:rsid w:val="00902FE1"/>
    <w:rsid w:val="00916213"/>
    <w:rsid w:val="00916BF7"/>
    <w:rsid w:val="00922F70"/>
    <w:rsid w:val="00925542"/>
    <w:rsid w:val="00932900"/>
    <w:rsid w:val="00970E92"/>
    <w:rsid w:val="009E7F56"/>
    <w:rsid w:val="00A17857"/>
    <w:rsid w:val="00A24EAA"/>
    <w:rsid w:val="00A2590A"/>
    <w:rsid w:val="00A56AD6"/>
    <w:rsid w:val="00A61AED"/>
    <w:rsid w:val="00AA15C1"/>
    <w:rsid w:val="00AA3AB9"/>
    <w:rsid w:val="00AD44C3"/>
    <w:rsid w:val="00B330B3"/>
    <w:rsid w:val="00B35BE2"/>
    <w:rsid w:val="00B374BF"/>
    <w:rsid w:val="00B51F13"/>
    <w:rsid w:val="00B67D24"/>
    <w:rsid w:val="00BA3C29"/>
    <w:rsid w:val="00BC155A"/>
    <w:rsid w:val="00C17C42"/>
    <w:rsid w:val="00C26E01"/>
    <w:rsid w:val="00C3761C"/>
    <w:rsid w:val="00CA694B"/>
    <w:rsid w:val="00CB67B6"/>
    <w:rsid w:val="00CE5E84"/>
    <w:rsid w:val="00CF175C"/>
    <w:rsid w:val="00D00DB5"/>
    <w:rsid w:val="00D010E4"/>
    <w:rsid w:val="00D20E54"/>
    <w:rsid w:val="00D471C6"/>
    <w:rsid w:val="00D85987"/>
    <w:rsid w:val="00DA3846"/>
    <w:rsid w:val="00E83AD3"/>
    <w:rsid w:val="00E87771"/>
    <w:rsid w:val="00E94F79"/>
    <w:rsid w:val="00EA4672"/>
    <w:rsid w:val="00EC4D8E"/>
    <w:rsid w:val="00ED3517"/>
    <w:rsid w:val="00ED6812"/>
    <w:rsid w:val="00F51CB0"/>
    <w:rsid w:val="00F82622"/>
    <w:rsid w:val="00FC1157"/>
    <w:rsid w:val="00FD683E"/>
    <w:rsid w:val="00FE06C8"/>
    <w:rsid w:val="00FE5D0E"/>
    <w:rsid w:val="00FF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footnote text"/>
    <w:basedOn w:val="a"/>
    <w:link w:val="a5"/>
    <w:uiPriority w:val="99"/>
    <w:semiHidden/>
    <w:unhideWhenUsed/>
    <w:rsid w:val="00CE5E84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CE5E84"/>
    <w:rPr>
      <w:sz w:val="20"/>
      <w:szCs w:val="20"/>
    </w:rPr>
  </w:style>
  <w:style w:type="character" w:styleId="a6">
    <w:name w:val="Hyperlink"/>
    <w:basedOn w:val="a0"/>
    <w:uiPriority w:val="99"/>
    <w:unhideWhenUsed/>
    <w:rsid w:val="001A270B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071B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71B6A"/>
    <w:rPr>
      <w:rFonts w:ascii="Segoe UI" w:hAnsi="Segoe UI" w:cs="Segoe UI"/>
      <w:sz w:val="18"/>
      <w:szCs w:val="18"/>
    </w:rPr>
  </w:style>
  <w:style w:type="paragraph" w:styleId="a9">
    <w:name w:val="No Spacing"/>
    <w:aliases w:val="ИСТОЧН"/>
    <w:link w:val="aa"/>
    <w:uiPriority w:val="1"/>
    <w:qFormat/>
    <w:rsid w:val="00886A64"/>
    <w:pPr>
      <w:spacing w:after="0" w:line="240" w:lineRule="auto"/>
    </w:pPr>
  </w:style>
  <w:style w:type="table" w:styleId="ab">
    <w:name w:val="Table Grid"/>
    <w:basedOn w:val="a1"/>
    <w:uiPriority w:val="39"/>
    <w:rsid w:val="00886A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Без интервала Знак"/>
    <w:aliases w:val="ИСТОЧН Знак"/>
    <w:link w:val="a9"/>
    <w:uiPriority w:val="1"/>
    <w:locked/>
    <w:rsid w:val="00886A64"/>
  </w:style>
  <w:style w:type="paragraph" w:styleId="ac">
    <w:name w:val="List Paragraph"/>
    <w:basedOn w:val="a"/>
    <w:uiPriority w:val="34"/>
    <w:qFormat/>
    <w:rsid w:val="00B35BE2"/>
    <w:pPr>
      <w:ind w:left="720"/>
      <w:contextualSpacing/>
    </w:pPr>
  </w:style>
  <w:style w:type="table" w:customStyle="1" w:styleId="13">
    <w:name w:val="Сетка таблицы1"/>
    <w:basedOn w:val="a1"/>
    <w:next w:val="ab"/>
    <w:uiPriority w:val="39"/>
    <w:rsid w:val="00CF175C"/>
    <w:pPr>
      <w:spacing w:after="0" w:line="240" w:lineRule="auto"/>
      <w:jc w:val="both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78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fs\free\&#1052;&#1072;&#1083;&#1099;&#1096;&#1077;&#1074;%20&#1052;.&#1050;\&#1054;&#1058;&#1044;&#1045;&#1051;\1.%20&#1052;&#1054;&#1053;&#1054;&#1043;&#1056;&#1040;&#1060;&#1048;&#1048;\4.%20&#1061;&#1048;&#1052;%20&#1054;&#1058;&#1056;\Excel%20&#1092;&#1072;&#1081;&#1083;&#1099;%20&#1087;&#1086;%20&#1061;&#1048;&#1052;%20&#1054;&#1058;&#1056;\&#1056;&#1072;&#1079;&#1084;&#1077;&#1088;%20&#1075;&#1083;&#1086;&#1073;&#1072;&#1083;&#1100;&#1085;&#1086;&#1075;&#1086;%20&#1088;&#1099;&#1085;&#1082;&#1072;%20&#1084;&#1080;&#1085;&#1077;&#1088;&#1072;&#1083;&#1100;&#1085;&#1099;&#1093;%20&#1091;&#1076;&#1086;&#1073;&#1088;&#1077;&#1085;&#1080;&#1081;%20&#1080;%20&#1089;%20&#1093;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\\fs\free\&#1052;&#1072;&#1083;&#1099;&#1096;&#1077;&#1074;%20&#1052;.&#1050;\&#1054;&#1058;&#1044;&#1045;&#1051;\1.%20&#1052;&#1054;&#1053;&#1054;&#1043;&#1056;&#1040;&#1060;&#1048;&#1048;\4.%20&#1061;&#1048;&#1052;%20&#1054;&#1058;&#1056;\Excel%20&#1092;&#1072;&#1081;&#1083;&#1099;%20&#1087;&#1086;%20&#1061;&#1048;&#1052;%20&#1054;&#1058;&#1056;\&#1056;&#1072;&#1079;&#1084;&#1077;&#1088;%20&#1088;&#1099;&#1085;&#1082;&#1072;%20&#1084;&#1080;&#1085;&#1077;&#1088;&#1072;&#1083;&#1100;&#1085;&#1099;&#1093;%20&#1091;&#1076;&#1086;&#1073;&#1088;&#1077;&#1085;&#1080;&#1081;%20&#1080;%20&#1084;&#1080;&#1088;&#1086;&#1074;&#1086;&#1075;&#1086;%20&#1042;&#1042;&#1055;%202023-2034%20&#1087;&#1088;&#1086;&#1075;&#1085;&#1086;&#1079;&#1099;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5" Type="http://schemas.openxmlformats.org/officeDocument/2006/relationships/chartUserShapes" Target="../drawings/drawing1.xml"/><Relationship Id="rId4" Type="http://schemas.openxmlformats.org/officeDocument/2006/relationships/oleObject" Target="file:///\\fs\free\&#1052;&#1072;&#1083;&#1099;&#1096;&#1077;&#1074;%20&#1052;.&#1050;\&#1054;&#1058;&#1044;&#1045;&#1051;\1.%20&#1052;&#1054;&#1053;&#1054;&#1043;&#1056;&#1040;&#1060;&#1048;&#1048;\4.%20&#1061;&#1048;&#1052;%20&#1054;&#1058;&#1056;\&#1052;&#1080;&#1088;&#1086;&#1074;&#1072;&#1103;%20&#1089;&#1090;&#1088;&#1091;&#1082;&#1090;&#1091;&#1088;&#1072;%20&#1089;&#1087;&#1088;&#1086;&#1089;&#1072;%20&#1085;&#1072;%20&#1091;&#1076;&#1086;&#1073;&#1088;&#1077;&#1085;&#1080;&#1103;%20&#1074;%201994%20&#1080;%202023%20&#1075;&#1086;&#1076;&#1091;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5" Type="http://schemas.openxmlformats.org/officeDocument/2006/relationships/chartUserShapes" Target="../drawings/drawing2.xml"/><Relationship Id="rId4" Type="http://schemas.openxmlformats.org/officeDocument/2006/relationships/oleObject" Target="file:///\\fs\free\&#1052;&#1072;&#1083;&#1099;&#1096;&#1077;&#1074;%20&#1052;.&#1050;\&#1054;&#1058;&#1044;&#1045;&#1051;\1.%20&#1052;&#1054;&#1053;&#1054;&#1043;&#1056;&#1040;&#1060;&#1048;&#1048;\4.%20&#1061;&#1048;&#1052;%20&#1054;&#1058;&#1056;\&#1051;&#1080;&#1089;&#1090;%20Microsoft%20Excel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&#1050;&#1085;&#1080;&#1075;&#1072;1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\\fs\free\&#1052;&#1072;&#1083;&#1099;&#1096;&#1077;&#1074;%20&#1052;.&#1050;\&#1054;&#1058;&#1044;&#1045;&#1051;\1.%20&#1052;&#1054;&#1053;&#1054;&#1043;&#1056;&#1040;&#1060;&#1048;&#1048;\4.%20&#1061;&#1048;&#1052;%20&#1054;&#1058;&#1056;\Excel%20&#1092;&#1072;&#1081;&#1083;&#1099;%20&#1087;&#1086;%20&#1061;&#1048;&#1052;%20&#1054;&#1058;&#1056;\&#1051;&#1080;&#1089;&#1090;%20Microsoft%20Exce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5.7395095510332145E-2"/>
          <c:y val="4.2342978122794639E-2"/>
          <c:w val="0.88987931193668757"/>
          <c:h val="0.66801438105346223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Размер глобального рынка минеральных удобрений, млрд. долл.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Лист1!$A$2:$A$31</c:f>
              <c:numCache>
                <c:formatCode>General</c:formatCode>
                <c:ptCount val="30"/>
                <c:pt idx="0">
                  <c:v>1994</c:v>
                </c:pt>
                <c:pt idx="1">
                  <c:v>1995</c:v>
                </c:pt>
                <c:pt idx="2">
                  <c:v>1996</c:v>
                </c:pt>
                <c:pt idx="3">
                  <c:v>1997</c:v>
                </c:pt>
                <c:pt idx="4">
                  <c:v>1998</c:v>
                </c:pt>
                <c:pt idx="5">
                  <c:v>1999</c:v>
                </c:pt>
                <c:pt idx="6">
                  <c:v>2000</c:v>
                </c:pt>
                <c:pt idx="7">
                  <c:v>2001</c:v>
                </c:pt>
                <c:pt idx="8">
                  <c:v>2002</c:v>
                </c:pt>
                <c:pt idx="9">
                  <c:v>2003</c:v>
                </c:pt>
                <c:pt idx="10">
                  <c:v>2004</c:v>
                </c:pt>
                <c:pt idx="11">
                  <c:v>2005</c:v>
                </c:pt>
                <c:pt idx="12">
                  <c:v>2006</c:v>
                </c:pt>
                <c:pt idx="13">
                  <c:v>2007</c:v>
                </c:pt>
                <c:pt idx="14">
                  <c:v>2008</c:v>
                </c:pt>
                <c:pt idx="15">
                  <c:v>2009</c:v>
                </c:pt>
                <c:pt idx="16">
                  <c:v>2010</c:v>
                </c:pt>
                <c:pt idx="17">
                  <c:v>2011</c:v>
                </c:pt>
                <c:pt idx="18">
                  <c:v>2012</c:v>
                </c:pt>
                <c:pt idx="19">
                  <c:v>2013</c:v>
                </c:pt>
                <c:pt idx="20">
                  <c:v>2014</c:v>
                </c:pt>
                <c:pt idx="21">
                  <c:v>2015</c:v>
                </c:pt>
                <c:pt idx="22">
                  <c:v>2016</c:v>
                </c:pt>
                <c:pt idx="23">
                  <c:v>2017</c:v>
                </c:pt>
                <c:pt idx="24">
                  <c:v>2018</c:v>
                </c:pt>
                <c:pt idx="25">
                  <c:v>2019</c:v>
                </c:pt>
                <c:pt idx="26">
                  <c:v>2020</c:v>
                </c:pt>
                <c:pt idx="27">
                  <c:v>2021</c:v>
                </c:pt>
                <c:pt idx="28">
                  <c:v>2022</c:v>
                </c:pt>
                <c:pt idx="29">
                  <c:v>2023</c:v>
                </c:pt>
              </c:numCache>
            </c:numRef>
          </c:cat>
          <c:val>
            <c:numRef>
              <c:f>Лист1!$B$2:$B$31</c:f>
              <c:numCache>
                <c:formatCode>General</c:formatCode>
                <c:ptCount val="30"/>
                <c:pt idx="0">
                  <c:v>35</c:v>
                </c:pt>
                <c:pt idx="1">
                  <c:v>37</c:v>
                </c:pt>
                <c:pt idx="2">
                  <c:v>40</c:v>
                </c:pt>
                <c:pt idx="3">
                  <c:v>43</c:v>
                </c:pt>
                <c:pt idx="4">
                  <c:v>41</c:v>
                </c:pt>
                <c:pt idx="5">
                  <c:v>39</c:v>
                </c:pt>
                <c:pt idx="6">
                  <c:v>40</c:v>
                </c:pt>
                <c:pt idx="7">
                  <c:v>41</c:v>
                </c:pt>
                <c:pt idx="8">
                  <c:v>42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70</c:v>
                </c:pt>
                <c:pt idx="14">
                  <c:v>90</c:v>
                </c:pt>
                <c:pt idx="15">
                  <c:v>75</c:v>
                </c:pt>
                <c:pt idx="16">
                  <c:v>85</c:v>
                </c:pt>
                <c:pt idx="17">
                  <c:v>105</c:v>
                </c:pt>
                <c:pt idx="18">
                  <c:v>115</c:v>
                </c:pt>
                <c:pt idx="19">
                  <c:v>120</c:v>
                </c:pt>
                <c:pt idx="20">
                  <c:v>130</c:v>
                </c:pt>
                <c:pt idx="21">
                  <c:v>125</c:v>
                </c:pt>
                <c:pt idx="22">
                  <c:v>120</c:v>
                </c:pt>
                <c:pt idx="23">
                  <c:v>130</c:v>
                </c:pt>
                <c:pt idx="24">
                  <c:v>145</c:v>
                </c:pt>
                <c:pt idx="25">
                  <c:v>155</c:v>
                </c:pt>
                <c:pt idx="26">
                  <c:v>165</c:v>
                </c:pt>
                <c:pt idx="27">
                  <c:v>185</c:v>
                </c:pt>
                <c:pt idx="28">
                  <c:v>200</c:v>
                </c:pt>
                <c:pt idx="29">
                  <c:v>230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FCA7-47F6-9517-C87EA99D35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387789871"/>
        <c:axId val="1387792367"/>
      </c:lineChart>
      <c:lineChart>
        <c:grouping val="standard"/>
        <c:varyColors val="0"/>
        <c:ser>
          <c:idx val="1"/>
          <c:order val="1"/>
          <c:tx>
            <c:strRef>
              <c:f>Лист1!$C$1</c:f>
              <c:strCache>
                <c:ptCount val="1"/>
                <c:pt idx="0">
                  <c:v>Размер глобального рынка сельского хозяйства, трлн. долл.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Лист1!$A$2:$A$31</c:f>
              <c:numCache>
                <c:formatCode>General</c:formatCode>
                <c:ptCount val="30"/>
                <c:pt idx="0">
                  <c:v>1994</c:v>
                </c:pt>
                <c:pt idx="1">
                  <c:v>1995</c:v>
                </c:pt>
                <c:pt idx="2">
                  <c:v>1996</c:v>
                </c:pt>
                <c:pt idx="3">
                  <c:v>1997</c:v>
                </c:pt>
                <c:pt idx="4">
                  <c:v>1998</c:v>
                </c:pt>
                <c:pt idx="5">
                  <c:v>1999</c:v>
                </c:pt>
                <c:pt idx="6">
                  <c:v>2000</c:v>
                </c:pt>
                <c:pt idx="7">
                  <c:v>2001</c:v>
                </c:pt>
                <c:pt idx="8">
                  <c:v>2002</c:v>
                </c:pt>
                <c:pt idx="9">
                  <c:v>2003</c:v>
                </c:pt>
                <c:pt idx="10">
                  <c:v>2004</c:v>
                </c:pt>
                <c:pt idx="11">
                  <c:v>2005</c:v>
                </c:pt>
                <c:pt idx="12">
                  <c:v>2006</c:v>
                </c:pt>
                <c:pt idx="13">
                  <c:v>2007</c:v>
                </c:pt>
                <c:pt idx="14">
                  <c:v>2008</c:v>
                </c:pt>
                <c:pt idx="15">
                  <c:v>2009</c:v>
                </c:pt>
                <c:pt idx="16">
                  <c:v>2010</c:v>
                </c:pt>
                <c:pt idx="17">
                  <c:v>2011</c:v>
                </c:pt>
                <c:pt idx="18">
                  <c:v>2012</c:v>
                </c:pt>
                <c:pt idx="19">
                  <c:v>2013</c:v>
                </c:pt>
                <c:pt idx="20">
                  <c:v>2014</c:v>
                </c:pt>
                <c:pt idx="21">
                  <c:v>2015</c:v>
                </c:pt>
                <c:pt idx="22">
                  <c:v>2016</c:v>
                </c:pt>
                <c:pt idx="23">
                  <c:v>2017</c:v>
                </c:pt>
                <c:pt idx="24">
                  <c:v>2018</c:v>
                </c:pt>
                <c:pt idx="25">
                  <c:v>2019</c:v>
                </c:pt>
                <c:pt idx="26">
                  <c:v>2020</c:v>
                </c:pt>
                <c:pt idx="27">
                  <c:v>2021</c:v>
                </c:pt>
                <c:pt idx="28">
                  <c:v>2022</c:v>
                </c:pt>
                <c:pt idx="29">
                  <c:v>2023</c:v>
                </c:pt>
              </c:numCache>
            </c:numRef>
          </c:cat>
          <c:val>
            <c:numRef>
              <c:f>Лист1!$C$2:$C$31</c:f>
              <c:numCache>
                <c:formatCode>0.0</c:formatCode>
                <c:ptCount val="30"/>
                <c:pt idx="0">
                  <c:v>1.2</c:v>
                </c:pt>
                <c:pt idx="1">
                  <c:v>1.3</c:v>
                </c:pt>
                <c:pt idx="2">
                  <c:v>1.4</c:v>
                </c:pt>
                <c:pt idx="3">
                  <c:v>1.5</c:v>
                </c:pt>
                <c:pt idx="4">
                  <c:v>1.6</c:v>
                </c:pt>
                <c:pt idx="5">
                  <c:v>1.7</c:v>
                </c:pt>
                <c:pt idx="6">
                  <c:v>1.8</c:v>
                </c:pt>
                <c:pt idx="7">
                  <c:v>1.9</c:v>
                </c:pt>
                <c:pt idx="8">
                  <c:v>2</c:v>
                </c:pt>
                <c:pt idx="9">
                  <c:v>2.2000000000000002</c:v>
                </c:pt>
                <c:pt idx="10">
                  <c:v>2.4</c:v>
                </c:pt>
                <c:pt idx="11">
                  <c:v>2.6</c:v>
                </c:pt>
                <c:pt idx="12">
                  <c:v>2.8</c:v>
                </c:pt>
                <c:pt idx="13">
                  <c:v>3</c:v>
                </c:pt>
                <c:pt idx="14">
                  <c:v>3.2</c:v>
                </c:pt>
                <c:pt idx="15">
                  <c:v>3</c:v>
                </c:pt>
                <c:pt idx="16">
                  <c:v>3.3</c:v>
                </c:pt>
                <c:pt idx="17">
                  <c:v>3.6</c:v>
                </c:pt>
                <c:pt idx="18">
                  <c:v>3.8</c:v>
                </c:pt>
                <c:pt idx="19">
                  <c:v>4</c:v>
                </c:pt>
                <c:pt idx="20">
                  <c:v>4.2</c:v>
                </c:pt>
                <c:pt idx="21">
                  <c:v>4.4000000000000004</c:v>
                </c:pt>
                <c:pt idx="22">
                  <c:v>4.5999999999999996</c:v>
                </c:pt>
                <c:pt idx="23">
                  <c:v>4.8</c:v>
                </c:pt>
                <c:pt idx="24">
                  <c:v>5</c:v>
                </c:pt>
                <c:pt idx="25">
                  <c:v>5.2</c:v>
                </c:pt>
                <c:pt idx="26">
                  <c:v>5</c:v>
                </c:pt>
                <c:pt idx="27">
                  <c:v>5.5</c:v>
                </c:pt>
                <c:pt idx="28">
                  <c:v>5.8</c:v>
                </c:pt>
                <c:pt idx="29">
                  <c:v>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CA7-47F6-9517-C87EA99D35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68501007"/>
        <c:axId val="1468495599"/>
      </c:lineChart>
      <c:catAx>
        <c:axId val="138778987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87792367"/>
        <c:crosses val="autoZero"/>
        <c:auto val="1"/>
        <c:lblAlgn val="ctr"/>
        <c:lblOffset val="100"/>
        <c:tickLblSkip val="2"/>
        <c:tickMarkSkip val="1"/>
        <c:noMultiLvlLbl val="0"/>
      </c:catAx>
      <c:valAx>
        <c:axId val="1387792367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387789871"/>
        <c:crosses val="autoZero"/>
        <c:crossBetween val="between"/>
      </c:valAx>
      <c:valAx>
        <c:axId val="1468495599"/>
        <c:scaling>
          <c:orientation val="minMax"/>
        </c:scaling>
        <c:delete val="0"/>
        <c:axPos val="r"/>
        <c:numFmt formatCode="0.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468501007"/>
        <c:crosses val="max"/>
        <c:crossBetween val="between"/>
      </c:valAx>
      <c:catAx>
        <c:axId val="1468501007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468495599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9256507277152771"/>
          <c:y val="0.81488561283403438"/>
          <c:w val="0.60864385051380876"/>
          <c:h val="0.163942898104568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Размер рынка минеральных удобрений, млрд. долл.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Лист1!$A$2:$A$14</c:f>
              <c:numCache>
                <c:formatCode>General</c:formatCode>
                <c:ptCount val="1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  <c:pt idx="3">
                  <c:v>2026</c:v>
                </c:pt>
                <c:pt idx="4">
                  <c:v>2027</c:v>
                </c:pt>
                <c:pt idx="5">
                  <c:v>2028</c:v>
                </c:pt>
                <c:pt idx="6">
                  <c:v>2029</c:v>
                </c:pt>
                <c:pt idx="7">
                  <c:v>2030</c:v>
                </c:pt>
                <c:pt idx="8">
                  <c:v>2031</c:v>
                </c:pt>
                <c:pt idx="9">
                  <c:v>2032</c:v>
                </c:pt>
                <c:pt idx="10">
                  <c:v>2033</c:v>
                </c:pt>
                <c:pt idx="11">
                  <c:v>2034</c:v>
                </c:pt>
                <c:pt idx="12">
                  <c:v>2035</c:v>
                </c:pt>
              </c:numCache>
            </c:numRef>
          </c:cat>
          <c:val>
            <c:numRef>
              <c:f>Лист1!$B$2:$B$14</c:f>
              <c:numCache>
                <c:formatCode>General</c:formatCode>
                <c:ptCount val="13"/>
                <c:pt idx="0">
                  <c:v>230</c:v>
                </c:pt>
                <c:pt idx="1">
                  <c:v>250</c:v>
                </c:pt>
                <c:pt idx="2">
                  <c:v>270</c:v>
                </c:pt>
                <c:pt idx="3">
                  <c:v>280</c:v>
                </c:pt>
                <c:pt idx="4">
                  <c:v>290</c:v>
                </c:pt>
                <c:pt idx="5">
                  <c:v>300</c:v>
                </c:pt>
                <c:pt idx="6">
                  <c:v>310</c:v>
                </c:pt>
                <c:pt idx="7">
                  <c:v>320</c:v>
                </c:pt>
                <c:pt idx="8">
                  <c:v>330</c:v>
                </c:pt>
                <c:pt idx="9">
                  <c:v>340</c:v>
                </c:pt>
                <c:pt idx="10">
                  <c:v>350</c:v>
                </c:pt>
                <c:pt idx="11">
                  <c:v>360</c:v>
                </c:pt>
                <c:pt idx="12">
                  <c:v>370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0DB-435C-BBFA-B3751F232B7E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axId val="1931278479"/>
        <c:axId val="1931277231"/>
      </c:barChart>
      <c:lineChart>
        <c:grouping val="standard"/>
        <c:varyColors val="0"/>
        <c:ser>
          <c:idx val="1"/>
          <c:order val="1"/>
          <c:tx>
            <c:strRef>
              <c:f>Лист1!$C$1</c:f>
              <c:strCache>
                <c:ptCount val="1"/>
                <c:pt idx="0">
                  <c:v>Объём мирового ВВП, трлн. долл.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Лист1!$A$2:$A$14</c:f>
              <c:numCache>
                <c:formatCode>General</c:formatCode>
                <c:ptCount val="13"/>
                <c:pt idx="0">
                  <c:v>2023</c:v>
                </c:pt>
                <c:pt idx="1">
                  <c:v>2024</c:v>
                </c:pt>
                <c:pt idx="2">
                  <c:v>2025</c:v>
                </c:pt>
                <c:pt idx="3">
                  <c:v>2026</c:v>
                </c:pt>
                <c:pt idx="4">
                  <c:v>2027</c:v>
                </c:pt>
                <c:pt idx="5">
                  <c:v>2028</c:v>
                </c:pt>
                <c:pt idx="6">
                  <c:v>2029</c:v>
                </c:pt>
                <c:pt idx="7">
                  <c:v>2030</c:v>
                </c:pt>
                <c:pt idx="8">
                  <c:v>2031</c:v>
                </c:pt>
                <c:pt idx="9">
                  <c:v>2032</c:v>
                </c:pt>
                <c:pt idx="10">
                  <c:v>2033</c:v>
                </c:pt>
                <c:pt idx="11">
                  <c:v>2034</c:v>
                </c:pt>
                <c:pt idx="12">
                  <c:v>2035</c:v>
                </c:pt>
              </c:numCache>
            </c:numRef>
          </c:cat>
          <c:val>
            <c:numRef>
              <c:f>Лист1!$C$2:$C$14</c:f>
              <c:numCache>
                <c:formatCode>0</c:formatCode>
                <c:ptCount val="13"/>
                <c:pt idx="0">
                  <c:v>110</c:v>
                </c:pt>
                <c:pt idx="1">
                  <c:v>117</c:v>
                </c:pt>
                <c:pt idx="2">
                  <c:v>124</c:v>
                </c:pt>
                <c:pt idx="3">
                  <c:v>132</c:v>
                </c:pt>
                <c:pt idx="4">
                  <c:v>139</c:v>
                </c:pt>
                <c:pt idx="5">
                  <c:v>147</c:v>
                </c:pt>
                <c:pt idx="6">
                  <c:v>156</c:v>
                </c:pt>
                <c:pt idx="7">
                  <c:v>165</c:v>
                </c:pt>
                <c:pt idx="8">
                  <c:v>174</c:v>
                </c:pt>
                <c:pt idx="9">
                  <c:v>184</c:v>
                </c:pt>
                <c:pt idx="10">
                  <c:v>195</c:v>
                </c:pt>
                <c:pt idx="11">
                  <c:v>207</c:v>
                </c:pt>
                <c:pt idx="12" formatCode="General">
                  <c:v>220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F0DB-435C-BBFA-B3751F232B7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047306591"/>
        <c:axId val="2047315327"/>
      </c:lineChart>
      <c:catAx>
        <c:axId val="193127847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931277231"/>
        <c:crosses val="autoZero"/>
        <c:auto val="1"/>
        <c:lblAlgn val="ctr"/>
        <c:lblOffset val="100"/>
        <c:noMultiLvlLbl val="0"/>
      </c:catAx>
      <c:valAx>
        <c:axId val="1931277231"/>
        <c:scaling>
          <c:orientation val="minMax"/>
          <c:max val="800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931278479"/>
        <c:crosses val="autoZero"/>
        <c:crossBetween val="between"/>
      </c:valAx>
      <c:valAx>
        <c:axId val="2047315327"/>
        <c:scaling>
          <c:orientation val="minMax"/>
        </c:scaling>
        <c:delete val="0"/>
        <c:axPos val="r"/>
        <c:numFmt formatCode="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47306591"/>
        <c:crosses val="max"/>
        <c:crossBetween val="between"/>
      </c:valAx>
      <c:catAx>
        <c:axId val="2047306591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047315327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28778355076685247"/>
          <c:y val="4.155567373634747E-2"/>
          <c:w val="0.33408867888608451"/>
          <c:h val="0.94666645058076937"/>
        </c:manualLayout>
      </c:layout>
      <c:doughnut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1994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6E3-49DE-8F69-87244277AFA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6E3-49DE-8F69-87244277AFAD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6E3-49DE-8F69-87244277AFAD}"/>
              </c:ext>
            </c:extLst>
          </c:dPt>
          <c:dLbls>
            <c:dLbl>
              <c:idx val="0"/>
              <c:layout>
                <c:manualLayout>
                  <c:x val="-5.8333333333333334E-2"/>
                  <c:y val="-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6E3-49DE-8F69-87244277AFAD}"/>
                </c:ext>
              </c:extLst>
            </c:dLbl>
            <c:dLbl>
              <c:idx val="1"/>
              <c:layout>
                <c:manualLayout>
                  <c:x val="5.8333333333333334E-2"/>
                  <c:y val="-2.31481481481481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6E3-49DE-8F69-87244277AFAD}"/>
                </c:ext>
              </c:extLst>
            </c:dLbl>
            <c:dLbl>
              <c:idx val="2"/>
              <c:layout>
                <c:manualLayout>
                  <c:x val="2.7777777777777776E-2"/>
                  <c:y val="5.55555555555555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6E3-49DE-8F69-87244277AFA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Лист1!$A$2:$A$4</c:f>
              <c:strCache>
                <c:ptCount val="3"/>
                <c:pt idx="0">
                  <c:v>Азотные удобрения</c:v>
                </c:pt>
                <c:pt idx="1">
                  <c:v>Фосфорные удобрения</c:v>
                </c:pt>
                <c:pt idx="2">
                  <c:v>Калийные удобрения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55</c:v>
                </c:pt>
                <c:pt idx="1">
                  <c:v>30</c:v>
                </c:pt>
                <c:pt idx="2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E6E3-49DE-8F69-87244277AFAD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2023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8-E6E3-49DE-8F69-87244277AFA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A-E6E3-49DE-8F69-87244277AFAD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C-E6E3-49DE-8F69-87244277AFAD}"/>
              </c:ext>
            </c:extLst>
          </c:dPt>
          <c:dLbls>
            <c:dLbl>
              <c:idx val="0"/>
              <c:layout>
                <c:manualLayout>
                  <c:x val="0.05"/>
                  <c:y val="4.166666666666658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E6E3-49DE-8F69-87244277AFAD}"/>
                </c:ext>
              </c:extLst>
            </c:dLbl>
            <c:dLbl>
              <c:idx val="1"/>
              <c:layout>
                <c:manualLayout>
                  <c:x val="-6.6666666666666693E-2"/>
                  <c:y val="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E6E3-49DE-8F69-87244277AFAD}"/>
                </c:ext>
              </c:extLst>
            </c:dLbl>
            <c:dLbl>
              <c:idx val="2"/>
              <c:layout>
                <c:manualLayout>
                  <c:x val="-5.0000000000000051E-2"/>
                  <c:y val="-6.944444444444446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E6E3-49DE-8F69-87244277AFA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Лист1!$A$2:$A$4</c:f>
              <c:strCache>
                <c:ptCount val="3"/>
                <c:pt idx="0">
                  <c:v>Азотные удобрения</c:v>
                </c:pt>
                <c:pt idx="1">
                  <c:v>Фосфорные удобрения</c:v>
                </c:pt>
                <c:pt idx="2">
                  <c:v>Калийные удобрения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60</c:v>
                </c:pt>
                <c:pt idx="1">
                  <c:v>25</c:v>
                </c:pt>
                <c:pt idx="2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E6E3-49DE-8F69-87244277AFAD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71563797339486346"/>
          <c:y val="1.1400074549634544E-2"/>
          <c:w val="0.27641300466786878"/>
          <c:h val="0.961717605058262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  <c:userShapes r:id="rId5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5.294885677490653E-2"/>
          <c:y val="4.7714128779615707E-2"/>
          <c:w val="0.44929338841133815"/>
          <c:h val="0.8955457149374092"/>
        </c:manualLayout>
      </c:layout>
      <c:doughnut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1994</c:v>
                </c:pt>
              </c:strCache>
            </c:strRef>
          </c:tx>
          <c:dPt>
            <c:idx val="0"/>
            <c:bubble3D val="0"/>
            <c:spPr>
              <a:solidFill>
                <a:schemeClr val="accent6">
                  <a:tint val="43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CEC0-4666-B481-65BCD3701287}"/>
              </c:ext>
            </c:extLst>
          </c:dPt>
          <c:dPt>
            <c:idx val="1"/>
            <c:bubble3D val="0"/>
            <c:spPr>
              <a:solidFill>
                <a:schemeClr val="accent6">
                  <a:tint val="56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CEC0-4666-B481-65BCD3701287}"/>
              </c:ext>
            </c:extLst>
          </c:dPt>
          <c:dPt>
            <c:idx val="2"/>
            <c:bubble3D val="0"/>
            <c:spPr>
              <a:solidFill>
                <a:schemeClr val="accent6">
                  <a:tint val="69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CEC0-4666-B481-65BCD3701287}"/>
              </c:ext>
            </c:extLst>
          </c:dPt>
          <c:dPt>
            <c:idx val="3"/>
            <c:bubble3D val="0"/>
            <c:spPr>
              <a:solidFill>
                <a:schemeClr val="accent6">
                  <a:tint val="81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CEC0-4666-B481-65BCD3701287}"/>
              </c:ext>
            </c:extLst>
          </c:dPt>
          <c:dPt>
            <c:idx val="4"/>
            <c:bubble3D val="0"/>
            <c:spPr>
              <a:solidFill>
                <a:schemeClr val="accent6">
                  <a:tint val="94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CEC0-4666-B481-65BCD3701287}"/>
              </c:ext>
            </c:extLst>
          </c:dPt>
          <c:dPt>
            <c:idx val="5"/>
            <c:bubble3D val="0"/>
            <c:spPr>
              <a:solidFill>
                <a:schemeClr val="accent6">
                  <a:shade val="93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CEC0-4666-B481-65BCD3701287}"/>
              </c:ext>
            </c:extLst>
          </c:dPt>
          <c:dPt>
            <c:idx val="6"/>
            <c:bubble3D val="0"/>
            <c:spPr>
              <a:solidFill>
                <a:schemeClr val="accent6">
                  <a:shade val="8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CEC0-4666-B481-65BCD3701287}"/>
              </c:ext>
            </c:extLst>
          </c:dPt>
          <c:dPt>
            <c:idx val="7"/>
            <c:bubble3D val="0"/>
            <c:spPr>
              <a:solidFill>
                <a:schemeClr val="accent6">
                  <a:shade val="68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CEC0-4666-B481-65BCD3701287}"/>
              </c:ext>
            </c:extLst>
          </c:dPt>
          <c:dPt>
            <c:idx val="8"/>
            <c:bubble3D val="0"/>
            <c:spPr>
              <a:solidFill>
                <a:schemeClr val="accent6">
                  <a:shade val="5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1-CEC0-4666-B481-65BCD3701287}"/>
              </c:ext>
            </c:extLst>
          </c:dPt>
          <c:dPt>
            <c:idx val="9"/>
            <c:bubble3D val="0"/>
            <c:spPr>
              <a:solidFill>
                <a:schemeClr val="accent6">
                  <a:shade val="42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3-CEC0-4666-B481-65BCD3701287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Лист1!$A$2:$A$11</c:f>
              <c:strCache>
                <c:ptCount val="10"/>
                <c:pt idx="0">
                  <c:v>Кукуруза</c:v>
                </c:pt>
                <c:pt idx="1">
                  <c:v>Пшеница</c:v>
                </c:pt>
                <c:pt idx="2">
                  <c:v>Рис</c:v>
                </c:pt>
                <c:pt idx="3">
                  <c:v>Соевый боб</c:v>
                </c:pt>
                <c:pt idx="4">
                  <c:v>Подсолнечник и рапс</c:v>
                </c:pt>
                <c:pt idx="5">
                  <c:v>Кукуруза на силос</c:v>
                </c:pt>
                <c:pt idx="6">
                  <c:v>Травы и другие кормовые</c:v>
                </c:pt>
                <c:pt idx="7">
                  <c:v>Фрукты</c:v>
                </c:pt>
                <c:pt idx="8">
                  <c:v>Овощи</c:v>
                </c:pt>
                <c:pt idx="9">
                  <c:v>Кофе, какао, сахарный тростник</c:v>
                </c:pt>
              </c:strCache>
            </c:strRef>
          </c:cat>
          <c:val>
            <c:numRef>
              <c:f>Лист1!$B$2:$B$11</c:f>
              <c:numCache>
                <c:formatCode>General</c:formatCode>
                <c:ptCount val="10"/>
                <c:pt idx="0">
                  <c:v>18</c:v>
                </c:pt>
                <c:pt idx="1">
                  <c:v>15</c:v>
                </c:pt>
                <c:pt idx="2">
                  <c:v>14</c:v>
                </c:pt>
                <c:pt idx="3">
                  <c:v>9</c:v>
                </c:pt>
                <c:pt idx="4">
                  <c:v>9</c:v>
                </c:pt>
                <c:pt idx="5">
                  <c:v>6</c:v>
                </c:pt>
                <c:pt idx="6">
                  <c:v>4</c:v>
                </c:pt>
                <c:pt idx="7">
                  <c:v>12</c:v>
                </c:pt>
                <c:pt idx="8">
                  <c:v>8</c:v>
                </c:pt>
                <c:pt idx="9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4-CEC0-4666-B481-65BCD3701287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2023</c:v>
                </c:pt>
              </c:strCache>
            </c:strRef>
          </c:tx>
          <c:dPt>
            <c:idx val="0"/>
            <c:bubble3D val="0"/>
            <c:spPr>
              <a:solidFill>
                <a:schemeClr val="accent6">
                  <a:tint val="43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6-CEC0-4666-B481-65BCD3701287}"/>
              </c:ext>
            </c:extLst>
          </c:dPt>
          <c:dPt>
            <c:idx val="1"/>
            <c:bubble3D val="0"/>
            <c:spPr>
              <a:solidFill>
                <a:schemeClr val="accent6">
                  <a:tint val="56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8-CEC0-4666-B481-65BCD3701287}"/>
              </c:ext>
            </c:extLst>
          </c:dPt>
          <c:dPt>
            <c:idx val="2"/>
            <c:bubble3D val="0"/>
            <c:spPr>
              <a:solidFill>
                <a:schemeClr val="accent6">
                  <a:tint val="69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A-CEC0-4666-B481-65BCD3701287}"/>
              </c:ext>
            </c:extLst>
          </c:dPt>
          <c:dPt>
            <c:idx val="3"/>
            <c:bubble3D val="0"/>
            <c:spPr>
              <a:solidFill>
                <a:schemeClr val="accent6">
                  <a:tint val="81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C-CEC0-4666-B481-65BCD3701287}"/>
              </c:ext>
            </c:extLst>
          </c:dPt>
          <c:dPt>
            <c:idx val="4"/>
            <c:bubble3D val="0"/>
            <c:spPr>
              <a:solidFill>
                <a:schemeClr val="accent6">
                  <a:tint val="94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E-CEC0-4666-B481-65BCD3701287}"/>
              </c:ext>
            </c:extLst>
          </c:dPt>
          <c:dPt>
            <c:idx val="5"/>
            <c:bubble3D val="0"/>
            <c:spPr>
              <a:solidFill>
                <a:schemeClr val="accent6">
                  <a:shade val="93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20-CEC0-4666-B481-65BCD3701287}"/>
              </c:ext>
            </c:extLst>
          </c:dPt>
          <c:dPt>
            <c:idx val="6"/>
            <c:bubble3D val="0"/>
            <c:spPr>
              <a:solidFill>
                <a:schemeClr val="accent6">
                  <a:shade val="8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22-CEC0-4666-B481-65BCD3701287}"/>
              </c:ext>
            </c:extLst>
          </c:dPt>
          <c:dPt>
            <c:idx val="7"/>
            <c:bubble3D val="0"/>
            <c:spPr>
              <a:solidFill>
                <a:schemeClr val="accent6">
                  <a:shade val="68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24-CEC0-4666-B481-65BCD3701287}"/>
              </c:ext>
            </c:extLst>
          </c:dPt>
          <c:dPt>
            <c:idx val="8"/>
            <c:bubble3D val="0"/>
            <c:spPr>
              <a:solidFill>
                <a:schemeClr val="accent6">
                  <a:shade val="5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26-CEC0-4666-B481-65BCD3701287}"/>
              </c:ext>
            </c:extLst>
          </c:dPt>
          <c:dPt>
            <c:idx val="9"/>
            <c:bubble3D val="0"/>
            <c:spPr>
              <a:solidFill>
                <a:schemeClr val="accent6">
                  <a:shade val="42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28-CEC0-4666-B481-65BCD3701287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Лист1!$A$2:$A$11</c:f>
              <c:strCache>
                <c:ptCount val="10"/>
                <c:pt idx="0">
                  <c:v>Кукуруза</c:v>
                </c:pt>
                <c:pt idx="1">
                  <c:v>Пшеница</c:v>
                </c:pt>
                <c:pt idx="2">
                  <c:v>Рис</c:v>
                </c:pt>
                <c:pt idx="3">
                  <c:v>Соевый боб</c:v>
                </c:pt>
                <c:pt idx="4">
                  <c:v>Подсолнечник и рапс</c:v>
                </c:pt>
                <c:pt idx="5">
                  <c:v>Кукуруза на силос</c:v>
                </c:pt>
                <c:pt idx="6">
                  <c:v>Травы и другие кормовые</c:v>
                </c:pt>
                <c:pt idx="7">
                  <c:v>Фрукты</c:v>
                </c:pt>
                <c:pt idx="8">
                  <c:v>Овощи</c:v>
                </c:pt>
                <c:pt idx="9">
                  <c:v>Кофе, какао, сахарный тростник</c:v>
                </c:pt>
              </c:strCache>
            </c:strRef>
          </c:cat>
          <c:val>
            <c:numRef>
              <c:f>Лист1!$C$2:$C$11</c:f>
              <c:numCache>
                <c:formatCode>General</c:formatCode>
                <c:ptCount val="10"/>
                <c:pt idx="0">
                  <c:v>20</c:v>
                </c:pt>
                <c:pt idx="1">
                  <c:v>15</c:v>
                </c:pt>
                <c:pt idx="2">
                  <c:v>13</c:v>
                </c:pt>
                <c:pt idx="3">
                  <c:v>12</c:v>
                </c:pt>
                <c:pt idx="4">
                  <c:v>11</c:v>
                </c:pt>
                <c:pt idx="5">
                  <c:v>8</c:v>
                </c:pt>
                <c:pt idx="6">
                  <c:v>6</c:v>
                </c:pt>
                <c:pt idx="7">
                  <c:v>7</c:v>
                </c:pt>
                <c:pt idx="8">
                  <c:v>5</c:v>
                </c:pt>
                <c:pt idx="9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29-CEC0-4666-B481-65BCD3701287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61541542451505948"/>
          <c:y val="2.0866626543093642E-2"/>
          <c:w val="0.37610381045323493"/>
          <c:h val="0.9520606202289599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  <c:userShapes r:id="rId5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6.0030012528008561E-2"/>
          <c:y val="3.1049013084941228E-2"/>
          <c:w val="0.91609327811666263"/>
          <c:h val="0.80183185684623748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Азот (N)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solidFill>
                <a:schemeClr val="bg1"/>
              </a:solidFill>
              <a:ln>
                <a:solidFill>
                  <a:schemeClr val="accent1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Лист1!$A$2:$A$18</c:f>
              <c:numCache>
                <c:formatCode>General</c:formatCode>
                <c:ptCount val="17"/>
                <c:pt idx="0">
                  <c:v>1965</c:v>
                </c:pt>
                <c:pt idx="1">
                  <c:v>1970</c:v>
                </c:pt>
                <c:pt idx="2">
                  <c:v>1975</c:v>
                </c:pt>
                <c:pt idx="3">
                  <c:v>1980</c:v>
                </c:pt>
                <c:pt idx="4">
                  <c:v>1985</c:v>
                </c:pt>
                <c:pt idx="5">
                  <c:v>1990</c:v>
                </c:pt>
                <c:pt idx="6">
                  <c:v>1995</c:v>
                </c:pt>
                <c:pt idx="7">
                  <c:v>2000</c:v>
                </c:pt>
                <c:pt idx="8">
                  <c:v>2005</c:v>
                </c:pt>
                <c:pt idx="9">
                  <c:v>2010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  <c:pt idx="16">
                  <c:v>2021</c:v>
                </c:pt>
              </c:numCache>
            </c:numRef>
          </c:cat>
          <c:val>
            <c:numRef>
              <c:f>Лист1!$B$2:$B$18</c:f>
              <c:numCache>
                <c:formatCode>0</c:formatCode>
                <c:ptCount val="17"/>
                <c:pt idx="0">
                  <c:v>18.66</c:v>
                </c:pt>
                <c:pt idx="1">
                  <c:v>31.42</c:v>
                </c:pt>
                <c:pt idx="2">
                  <c:v>42.82</c:v>
                </c:pt>
                <c:pt idx="3">
                  <c:v>60.49</c:v>
                </c:pt>
                <c:pt idx="4">
                  <c:v>70.05</c:v>
                </c:pt>
                <c:pt idx="5">
                  <c:v>76.78</c:v>
                </c:pt>
                <c:pt idx="6">
                  <c:v>78.22</c:v>
                </c:pt>
                <c:pt idx="7">
                  <c:v>82.06</c:v>
                </c:pt>
                <c:pt idx="8">
                  <c:v>90.64</c:v>
                </c:pt>
                <c:pt idx="9">
                  <c:v>99.56</c:v>
                </c:pt>
                <c:pt idx="10">
                  <c:v>106.33</c:v>
                </c:pt>
                <c:pt idx="11">
                  <c:v>107.03</c:v>
                </c:pt>
                <c:pt idx="12">
                  <c:v>105.11</c:v>
                </c:pt>
                <c:pt idx="13">
                  <c:v>104.85</c:v>
                </c:pt>
                <c:pt idx="14">
                  <c:v>109.93</c:v>
                </c:pt>
                <c:pt idx="15">
                  <c:v>112.36</c:v>
                </c:pt>
                <c:pt idx="16">
                  <c:v>109.17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EFA-42F2-B41B-4B36B2A2665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Фосфат (P2O5)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Лист1!$A$2:$A$18</c:f>
              <c:numCache>
                <c:formatCode>General</c:formatCode>
                <c:ptCount val="17"/>
                <c:pt idx="0">
                  <c:v>1965</c:v>
                </c:pt>
                <c:pt idx="1">
                  <c:v>1970</c:v>
                </c:pt>
                <c:pt idx="2">
                  <c:v>1975</c:v>
                </c:pt>
                <c:pt idx="3">
                  <c:v>1980</c:v>
                </c:pt>
                <c:pt idx="4">
                  <c:v>1985</c:v>
                </c:pt>
                <c:pt idx="5">
                  <c:v>1990</c:v>
                </c:pt>
                <c:pt idx="6">
                  <c:v>1995</c:v>
                </c:pt>
                <c:pt idx="7">
                  <c:v>2000</c:v>
                </c:pt>
                <c:pt idx="8">
                  <c:v>2005</c:v>
                </c:pt>
                <c:pt idx="9">
                  <c:v>2010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  <c:pt idx="16">
                  <c:v>2021</c:v>
                </c:pt>
              </c:numCache>
            </c:numRef>
          </c:cat>
          <c:val>
            <c:numRef>
              <c:f>Лист1!$C$2:$C$18</c:f>
              <c:numCache>
                <c:formatCode>0</c:formatCode>
                <c:ptCount val="17"/>
                <c:pt idx="0">
                  <c:v>16.02</c:v>
                </c:pt>
                <c:pt idx="1">
                  <c:v>20.88</c:v>
                </c:pt>
                <c:pt idx="2">
                  <c:v>25.69</c:v>
                </c:pt>
                <c:pt idx="3">
                  <c:v>31.91</c:v>
                </c:pt>
                <c:pt idx="4">
                  <c:v>33.520000000000003</c:v>
                </c:pt>
                <c:pt idx="5">
                  <c:v>35.92</c:v>
                </c:pt>
                <c:pt idx="6">
                  <c:v>30.97</c:v>
                </c:pt>
                <c:pt idx="7">
                  <c:v>32.81</c:v>
                </c:pt>
                <c:pt idx="8">
                  <c:v>36.58</c:v>
                </c:pt>
                <c:pt idx="9">
                  <c:v>41.85</c:v>
                </c:pt>
                <c:pt idx="10">
                  <c:v>45.36</c:v>
                </c:pt>
                <c:pt idx="11">
                  <c:v>44.84</c:v>
                </c:pt>
                <c:pt idx="12">
                  <c:v>46.44</c:v>
                </c:pt>
                <c:pt idx="13">
                  <c:v>45.47</c:v>
                </c:pt>
                <c:pt idx="14">
                  <c:v>46.43</c:v>
                </c:pt>
                <c:pt idx="15">
                  <c:v>48.98</c:v>
                </c:pt>
                <c:pt idx="16">
                  <c:v>47.81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EFA-42F2-B41B-4B36B2A26655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Калий (K2O)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Лист1!$A$2:$A$18</c:f>
              <c:numCache>
                <c:formatCode>General</c:formatCode>
                <c:ptCount val="17"/>
                <c:pt idx="0">
                  <c:v>1965</c:v>
                </c:pt>
                <c:pt idx="1">
                  <c:v>1970</c:v>
                </c:pt>
                <c:pt idx="2">
                  <c:v>1975</c:v>
                </c:pt>
                <c:pt idx="3">
                  <c:v>1980</c:v>
                </c:pt>
                <c:pt idx="4">
                  <c:v>1985</c:v>
                </c:pt>
                <c:pt idx="5">
                  <c:v>1990</c:v>
                </c:pt>
                <c:pt idx="6">
                  <c:v>1995</c:v>
                </c:pt>
                <c:pt idx="7">
                  <c:v>2000</c:v>
                </c:pt>
                <c:pt idx="8">
                  <c:v>2005</c:v>
                </c:pt>
                <c:pt idx="9">
                  <c:v>2010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  <c:pt idx="14">
                  <c:v>2019</c:v>
                </c:pt>
                <c:pt idx="15">
                  <c:v>2020</c:v>
                </c:pt>
                <c:pt idx="16">
                  <c:v>2021</c:v>
                </c:pt>
              </c:numCache>
            </c:numRef>
          </c:cat>
          <c:val>
            <c:numRef>
              <c:f>Лист1!$D$2:$D$18</c:f>
              <c:numCache>
                <c:formatCode>0</c:formatCode>
                <c:ptCount val="17"/>
                <c:pt idx="0">
                  <c:v>11.63</c:v>
                </c:pt>
                <c:pt idx="1">
                  <c:v>15.76</c:v>
                </c:pt>
                <c:pt idx="2">
                  <c:v>20.67</c:v>
                </c:pt>
                <c:pt idx="3">
                  <c:v>23.83</c:v>
                </c:pt>
                <c:pt idx="4">
                  <c:v>25.15</c:v>
                </c:pt>
                <c:pt idx="5">
                  <c:v>24.32</c:v>
                </c:pt>
                <c:pt idx="6">
                  <c:v>20.64</c:v>
                </c:pt>
                <c:pt idx="7">
                  <c:v>22.07</c:v>
                </c:pt>
                <c:pt idx="8">
                  <c:v>26.1</c:v>
                </c:pt>
                <c:pt idx="9">
                  <c:v>28.2</c:v>
                </c:pt>
                <c:pt idx="10">
                  <c:v>34.81</c:v>
                </c:pt>
                <c:pt idx="11">
                  <c:v>36.31</c:v>
                </c:pt>
                <c:pt idx="12">
                  <c:v>37.619999999999997</c:v>
                </c:pt>
                <c:pt idx="13">
                  <c:v>37.31</c:v>
                </c:pt>
                <c:pt idx="14">
                  <c:v>37.409999999999997</c:v>
                </c:pt>
                <c:pt idx="15">
                  <c:v>40.5</c:v>
                </c:pt>
                <c:pt idx="16">
                  <c:v>38.4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EFA-42F2-B41B-4B36B2A26655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30"/>
        <c:overlap val="100"/>
        <c:axId val="1501847791"/>
        <c:axId val="1501850287"/>
      </c:barChart>
      <c:catAx>
        <c:axId val="150184779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501850287"/>
        <c:crosses val="autoZero"/>
        <c:auto val="1"/>
        <c:lblAlgn val="ctr"/>
        <c:lblOffset val="100"/>
        <c:noMultiLvlLbl val="0"/>
      </c:catAx>
      <c:valAx>
        <c:axId val="1501850287"/>
        <c:scaling>
          <c:orientation val="minMax"/>
        </c:scaling>
        <c:delete val="0"/>
        <c:axPos val="l"/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50184779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8323571285736021"/>
          <c:y val="0.91632133807625349"/>
          <c:w val="0.43786979416806676"/>
          <c:h val="7.037194203020032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5.879265091863517E-2"/>
          <c:y val="4.1401672419511364E-2"/>
          <c:w val="0.91853862162129274"/>
          <c:h val="0.7851389281283396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1994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Лист1!$A$2:$A$7</c:f>
              <c:strCache>
                <c:ptCount val="6"/>
                <c:pt idx="0">
                  <c:v>Азия</c:v>
                </c:pt>
                <c:pt idx="1">
                  <c:v>Северная Америка</c:v>
                </c:pt>
                <c:pt idx="2">
                  <c:v>Южная Америка</c:v>
                </c:pt>
                <c:pt idx="3">
                  <c:v>Европа</c:v>
                </c:pt>
                <c:pt idx="4">
                  <c:v>Африка</c:v>
                </c:pt>
                <c:pt idx="5">
                  <c:v>Океания</c:v>
                </c:pt>
              </c:strCache>
            </c:str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55</c:v>
                </c:pt>
                <c:pt idx="1">
                  <c:v>17</c:v>
                </c:pt>
                <c:pt idx="2">
                  <c:v>8</c:v>
                </c:pt>
                <c:pt idx="3">
                  <c:v>25</c:v>
                </c:pt>
                <c:pt idx="4">
                  <c:v>3</c:v>
                </c:pt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5E5-4FCF-8F17-F5ABA026046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Лист1!$A$2:$A$7</c:f>
              <c:strCache>
                <c:ptCount val="6"/>
                <c:pt idx="0">
                  <c:v>Азия</c:v>
                </c:pt>
                <c:pt idx="1">
                  <c:v>Северная Америка</c:v>
                </c:pt>
                <c:pt idx="2">
                  <c:v>Южная Америка</c:v>
                </c:pt>
                <c:pt idx="3">
                  <c:v>Европа</c:v>
                </c:pt>
                <c:pt idx="4">
                  <c:v>Африка</c:v>
                </c:pt>
                <c:pt idx="5">
                  <c:v>Океания</c:v>
                </c:pt>
              </c:strCache>
            </c:strRef>
          </c:cat>
          <c:val>
            <c:numRef>
              <c:f>Лист1!$C$2:$C$7</c:f>
              <c:numCache>
                <c:formatCode>General</c:formatCode>
                <c:ptCount val="6"/>
                <c:pt idx="0">
                  <c:v>115</c:v>
                </c:pt>
                <c:pt idx="1">
                  <c:v>28</c:v>
                </c:pt>
                <c:pt idx="2">
                  <c:v>22</c:v>
                </c:pt>
                <c:pt idx="3">
                  <c:v>18</c:v>
                </c:pt>
                <c:pt idx="4">
                  <c:v>10</c:v>
                </c:pt>
                <c:pt idx="5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5E5-4FCF-8F17-F5ABA026046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709024176"/>
        <c:axId val="709021680"/>
      </c:barChart>
      <c:catAx>
        <c:axId val="70902417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09021680"/>
        <c:crosses val="autoZero"/>
        <c:auto val="1"/>
        <c:lblAlgn val="ctr"/>
        <c:lblOffset val="100"/>
        <c:noMultiLvlLbl val="0"/>
      </c:catAx>
      <c:valAx>
        <c:axId val="70902168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090241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4304444092865517"/>
          <c:y val="0.91285745433551568"/>
          <c:w val="0.13338363616449028"/>
          <c:h val="7.734479602992298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withinLinearReversed" id="26">
  <a:schemeClr val="accent6"/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0.59841</cdr:x>
      <cdr:y>0.11731</cdr:y>
    </cdr:from>
    <cdr:to>
      <cdr:x>0.69936</cdr:x>
      <cdr:y>0.22693</cdr:y>
    </cdr:to>
    <cdr:sp macro="" textlink="">
      <cdr:nvSpPr>
        <cdr:cNvPr id="2" name="Надпись 1"/>
        <cdr:cNvSpPr txBox="1"/>
      </cdr:nvSpPr>
      <cdr:spPr>
        <a:xfrm xmlns:a="http://schemas.openxmlformats.org/drawingml/2006/main">
          <a:off x="3661938" y="253339"/>
          <a:ext cx="617763" cy="236740"/>
        </a:xfrm>
        <a:prstGeom xmlns:a="http://schemas.openxmlformats.org/drawingml/2006/main" prst="rect">
          <a:avLst/>
        </a:prstGeom>
        <a:ln xmlns:a="http://schemas.openxmlformats.org/drawingml/2006/main" w="3175">
          <a:solidFill>
            <a:schemeClr val="tx1"/>
          </a:solidFill>
        </a:ln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2023</a:t>
          </a:r>
        </a:p>
      </cdr:txBody>
    </cdr:sp>
  </cdr:relSizeAnchor>
  <cdr:relSizeAnchor xmlns:cdr="http://schemas.openxmlformats.org/drawingml/2006/chartDrawing">
    <cdr:from>
      <cdr:x>0.45113</cdr:x>
      <cdr:y>0.32524</cdr:y>
    </cdr:from>
    <cdr:to>
      <cdr:x>0.55208</cdr:x>
      <cdr:y>0.43487</cdr:y>
    </cdr:to>
    <cdr:sp macro="" textlink="">
      <cdr:nvSpPr>
        <cdr:cNvPr id="3" name="Надпись 1"/>
        <cdr:cNvSpPr txBox="1"/>
      </cdr:nvSpPr>
      <cdr:spPr>
        <a:xfrm xmlns:a="http://schemas.openxmlformats.org/drawingml/2006/main">
          <a:off x="2760666" y="702391"/>
          <a:ext cx="617763" cy="236761"/>
        </a:xfrm>
        <a:prstGeom xmlns:a="http://schemas.openxmlformats.org/drawingml/2006/main" prst="rect">
          <a:avLst/>
        </a:prstGeom>
        <a:ln xmlns:a="http://schemas.openxmlformats.org/drawingml/2006/main" w="3175">
          <a:solidFill>
            <a:schemeClr val="tx1"/>
          </a:solidFill>
        </a:ln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1994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0.27465</cdr:x>
      <cdr:y>0.36921</cdr:y>
    </cdr:from>
    <cdr:to>
      <cdr:x>0.3756</cdr:x>
      <cdr:y>0.47884</cdr:y>
    </cdr:to>
    <cdr:sp macro="" textlink="">
      <cdr:nvSpPr>
        <cdr:cNvPr id="2" name="Надпись 1"/>
        <cdr:cNvSpPr txBox="1"/>
      </cdr:nvSpPr>
      <cdr:spPr>
        <a:xfrm xmlns:a="http://schemas.openxmlformats.org/drawingml/2006/main">
          <a:off x="1606573" y="930280"/>
          <a:ext cx="590519" cy="276233"/>
        </a:xfrm>
        <a:prstGeom xmlns:a="http://schemas.openxmlformats.org/drawingml/2006/main" prst="rect">
          <a:avLst/>
        </a:prstGeom>
        <a:ln xmlns:a="http://schemas.openxmlformats.org/drawingml/2006/main" w="3175">
          <a:solidFill>
            <a:schemeClr val="tx1"/>
          </a:solidFill>
        </a:ln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1994</a:t>
          </a:r>
        </a:p>
      </cdr:txBody>
    </cdr:sp>
  </cdr:relSizeAnchor>
  <cdr:relSizeAnchor xmlns:cdr="http://schemas.openxmlformats.org/drawingml/2006/chartDrawing">
    <cdr:from>
      <cdr:x>0.4695</cdr:x>
      <cdr:y>0.09199</cdr:y>
    </cdr:from>
    <cdr:to>
      <cdr:x>0.57045</cdr:x>
      <cdr:y>0.20161</cdr:y>
    </cdr:to>
    <cdr:sp macro="" textlink="">
      <cdr:nvSpPr>
        <cdr:cNvPr id="3" name="Надпись 1"/>
        <cdr:cNvSpPr txBox="1"/>
      </cdr:nvSpPr>
      <cdr:spPr>
        <a:xfrm xmlns:a="http://schemas.openxmlformats.org/drawingml/2006/main">
          <a:off x="2746398" y="231787"/>
          <a:ext cx="590519" cy="276208"/>
        </a:xfrm>
        <a:prstGeom xmlns:a="http://schemas.openxmlformats.org/drawingml/2006/main" prst="rect">
          <a:avLst/>
        </a:prstGeom>
        <a:ln xmlns:a="http://schemas.openxmlformats.org/drawingml/2006/main" w="3175">
          <a:solidFill>
            <a:schemeClr val="tx1"/>
          </a:solidFill>
        </a:ln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2023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8D3776-8EA8-42CD-903B-8F277C77D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5</Pages>
  <Words>1442</Words>
  <Characters>8224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Михаил К. Малышев</cp:lastModifiedBy>
  <cp:revision>30</cp:revision>
  <dcterms:created xsi:type="dcterms:W3CDTF">2024-05-03T14:43:00Z</dcterms:created>
  <dcterms:modified xsi:type="dcterms:W3CDTF">2025-05-06T12:11:00Z</dcterms:modified>
</cp:coreProperties>
</file>