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F18B72" w14:textId="21C4125A" w:rsidR="007E6BB5" w:rsidRDefault="006A42A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A42A8">
        <w:rPr>
          <w:rFonts w:ascii="Times New Roman" w:hAnsi="Times New Roman" w:cs="Times New Roman"/>
          <w:b/>
          <w:bCs/>
          <w:sz w:val="24"/>
          <w:szCs w:val="24"/>
        </w:rPr>
        <w:t>УДК 910.3/332.36</w:t>
      </w:r>
    </w:p>
    <w:p w14:paraId="7A00CABA" w14:textId="347781EA" w:rsidR="006A42A8" w:rsidRDefault="006A42A8" w:rsidP="006A42A8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Радикевич А.В.</w:t>
      </w:r>
    </w:p>
    <w:p w14:paraId="67BFBCAE" w14:textId="4F657706" w:rsidR="006A42A8" w:rsidRDefault="006A42A8" w:rsidP="006A42A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ПОТЕНЦИАЛ РАЗВИТИЯ СЕЛЬСКОГО ХОЗЯЙСТВА НЕЧЕРНОЗЕМНЫХ РЕГИОНОВ РОССИИ: ФАКТОРЫ И ТЕОРЕТИЧЕСКИЕ ОСНОВЫ </w:t>
      </w:r>
    </w:p>
    <w:p w14:paraId="0293EE5C" w14:textId="002BF659" w:rsidR="006A42A8" w:rsidRDefault="006A42A8" w:rsidP="006A42A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B5584C1" w14:textId="721F03BF" w:rsidR="004831E2" w:rsidRDefault="00CE52F8" w:rsidP="004831E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31E2">
        <w:rPr>
          <w:rFonts w:ascii="Times New Roman" w:hAnsi="Times New Roman" w:cs="Times New Roman"/>
          <w:b/>
          <w:bCs/>
          <w:sz w:val="24"/>
          <w:szCs w:val="24"/>
        </w:rPr>
        <w:t>Аннотация: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52F8">
        <w:rPr>
          <w:rFonts w:ascii="Times New Roman" w:hAnsi="Times New Roman" w:cs="Times New Roman"/>
          <w:sz w:val="24"/>
          <w:szCs w:val="24"/>
        </w:rPr>
        <w:t>Нечерноземная зона России включает 32 региона, занимает 2,4 млн км², с населением 44 млн (без Москвы и СПб). За 20 лет сократились посевные площади и занятость в АПК, но потенциал сохраняется благодаря природным условиям и близости к рынкам. Требуется обновление техники и инфраструктуры для развития сельского хозяйства и преодоления кризиса.</w:t>
      </w:r>
    </w:p>
    <w:p w14:paraId="2C1510D3" w14:textId="00D48E23" w:rsidR="004831E2" w:rsidRDefault="004831E2" w:rsidP="000B23B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31E2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sz w:val="24"/>
          <w:szCs w:val="24"/>
        </w:rPr>
        <w:t xml:space="preserve"> потенциал развития сельского хозяйства, факторы формирования сельскохозяйственного потенциала </w:t>
      </w:r>
    </w:p>
    <w:p w14:paraId="755D97FF" w14:textId="77777777" w:rsidR="000B23B8" w:rsidRDefault="000B23B8" w:rsidP="000B23B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F9FD52B" w14:textId="22A27B77" w:rsidR="000B23B8" w:rsidRPr="000B23B8" w:rsidRDefault="000B23B8" w:rsidP="000B23B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B23B8">
        <w:rPr>
          <w:rFonts w:ascii="Times New Roman" w:hAnsi="Times New Roman" w:cs="Times New Roman"/>
          <w:sz w:val="24"/>
          <w:szCs w:val="24"/>
        </w:rPr>
        <w:t xml:space="preserve">Проблема определения собственно "сельскохозяйственного потенциала", или потенциала сельского хозяйства, входит в сферу ресурсно-отраслевой, экономической, постмодернистской и фундаментальной направленностей, которые были выявлены автором в ходе анализа современных научных исследований. </w:t>
      </w:r>
      <w:r w:rsidR="00C327DD">
        <w:rPr>
          <w:rFonts w:ascii="Times New Roman" w:hAnsi="Times New Roman" w:cs="Times New Roman"/>
          <w:sz w:val="24"/>
          <w:szCs w:val="24"/>
        </w:rPr>
        <w:t>Ниже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B23B8">
        <w:rPr>
          <w:rFonts w:ascii="Times New Roman" w:hAnsi="Times New Roman" w:cs="Times New Roman"/>
          <w:sz w:val="24"/>
          <w:szCs w:val="24"/>
        </w:rPr>
        <w:t>представлены основные подходы к определению этого термина</w:t>
      </w:r>
      <w:r w:rsidR="00C327DD">
        <w:rPr>
          <w:rFonts w:ascii="Times New Roman" w:hAnsi="Times New Roman" w:cs="Times New Roman"/>
          <w:sz w:val="24"/>
          <w:szCs w:val="24"/>
        </w:rPr>
        <w:t xml:space="preserve"> (табл. 1)</w:t>
      </w:r>
      <w:r w:rsidRPr="000B23B8">
        <w:rPr>
          <w:rFonts w:ascii="Times New Roman" w:hAnsi="Times New Roman" w:cs="Times New Roman"/>
          <w:sz w:val="24"/>
          <w:szCs w:val="24"/>
        </w:rPr>
        <w:t>.</w:t>
      </w:r>
    </w:p>
    <w:p w14:paraId="11C1A99E" w14:textId="2131AF3D" w:rsidR="000B23B8" w:rsidRPr="000B23B8" w:rsidRDefault="000B23B8" w:rsidP="000B23B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B23B8">
        <w:rPr>
          <w:rFonts w:ascii="Times New Roman" w:hAnsi="Times New Roman" w:cs="Times New Roman"/>
          <w:sz w:val="24"/>
          <w:szCs w:val="24"/>
        </w:rPr>
        <w:t xml:space="preserve">Таблица 1. </w:t>
      </w:r>
      <w:bookmarkStart w:id="0" w:name="_Hlk163593341"/>
      <w:r w:rsidRPr="000B23B8">
        <w:rPr>
          <w:rFonts w:ascii="Times New Roman" w:hAnsi="Times New Roman" w:cs="Times New Roman"/>
          <w:sz w:val="24"/>
          <w:szCs w:val="24"/>
        </w:rPr>
        <w:t>Основные подходы к определению понятия «сельскохозяйственный потенциал»</w:t>
      </w:r>
    </w:p>
    <w:tbl>
      <w:tblPr>
        <w:tblpPr w:leftFromText="180" w:rightFromText="180" w:vertAnchor="text" w:horzAnchor="margin" w:tblpY="62"/>
        <w:tblW w:w="5000" w:type="pct"/>
        <w:tblLook w:val="04A0" w:firstRow="1" w:lastRow="0" w:firstColumn="1" w:lastColumn="0" w:noHBand="0" w:noVBand="1"/>
      </w:tblPr>
      <w:tblGrid>
        <w:gridCol w:w="2999"/>
        <w:gridCol w:w="4080"/>
        <w:gridCol w:w="2539"/>
      </w:tblGrid>
      <w:tr w:rsidR="000B23B8" w:rsidRPr="000B23B8" w14:paraId="69B59D02" w14:textId="77777777" w:rsidTr="000B23B8">
        <w:trPr>
          <w:trHeight w:val="948"/>
        </w:trPr>
        <w:tc>
          <w:tcPr>
            <w:tcW w:w="155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bookmarkEnd w:id="0"/>
          <w:p w14:paraId="4D94C174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Подход</w:t>
            </w:r>
          </w:p>
        </w:tc>
        <w:tc>
          <w:tcPr>
            <w:tcW w:w="21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CE5BAD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Ключевые особенности</w:t>
            </w:r>
          </w:p>
        </w:tc>
        <w:tc>
          <w:tcPr>
            <w:tcW w:w="132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9FE233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Авторы</w:t>
            </w:r>
          </w:p>
        </w:tc>
      </w:tr>
      <w:tr w:rsidR="000B23B8" w:rsidRPr="000B23B8" w14:paraId="7B4DAA1D" w14:textId="77777777" w:rsidTr="000B23B8">
        <w:trPr>
          <w:trHeight w:val="1566"/>
        </w:trPr>
        <w:tc>
          <w:tcPr>
            <w:tcW w:w="155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557CD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bookmarkStart w:id="1" w:name="_Hlk157411553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Ресурсно-отраслевой</w:t>
            </w:r>
          </w:p>
        </w:tc>
        <w:tc>
          <w:tcPr>
            <w:tcW w:w="2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639E7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«Совокупность трудовых, земельных, водных и материальных ресурсов, предназначенных для использования или используемых в животноводстве или растениеводстве»</w:t>
            </w:r>
          </w:p>
        </w:tc>
        <w:tc>
          <w:tcPr>
            <w:tcW w:w="132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9A8E31" w14:textId="13816FEE" w:rsidR="000B23B8" w:rsidRPr="000B23B8" w:rsidRDefault="000B23B8" w:rsidP="000B23B8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bookmarkStart w:id="2" w:name="_Hlk158211934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С.В.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Дохолян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,  Ю.Д.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Умавов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, Л.Д.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Ревуцкий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В.Н. Авдеенко, В.А.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Котлова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, А.И.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Анчишкина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, А.В, Андреев, И.А.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Смагаринский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, О.В.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Прущак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,  Н.Р.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Кельчевская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, А.Л. Попова, С.В. Филатова, А.Ю. Бунина</w:t>
            </w:r>
            <w:bookmarkEnd w:id="2"/>
          </w:p>
        </w:tc>
      </w:tr>
      <w:tr w:rsidR="000B23B8" w:rsidRPr="000B23B8" w14:paraId="7955B416" w14:textId="77777777" w:rsidTr="000B23B8">
        <w:trPr>
          <w:trHeight w:val="2781"/>
        </w:trPr>
        <w:tc>
          <w:tcPr>
            <w:tcW w:w="155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842334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Экономический (ресурсно-результативный)</w:t>
            </w:r>
          </w:p>
        </w:tc>
        <w:tc>
          <w:tcPr>
            <w:tcW w:w="2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767B9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«Предельная мощность предприятия по выпуску продукции»; «Совокупные возможности хозяйствующих субъектов в сельском хозяйстве по производству сельскохозяйственной продукции и получению валового дохода, который является основным источником расширенного производства ресурсов, задействованных в аграрном процессе»</w:t>
            </w:r>
          </w:p>
        </w:tc>
        <w:tc>
          <w:tcPr>
            <w:tcW w:w="132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EB014" w14:textId="5CF81845" w:rsidR="000B23B8" w:rsidRPr="000B23B8" w:rsidRDefault="000B23B8" w:rsidP="000B23B8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bookmarkStart w:id="3" w:name="_Hlk158211960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М.И. Баканов,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В.Г. Андрейчук, А.П. Зинченко, О.П.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Крастинь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, Е.Б. Панина, Б.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Пошкус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, В.А. Свободин, С.С. Сергеев, А.Э. Юзефович, В.М. Кошелев</w:t>
            </w:r>
            <w:bookmarkEnd w:id="3"/>
          </w:p>
        </w:tc>
      </w:tr>
      <w:bookmarkEnd w:id="1"/>
      <w:tr w:rsidR="000B23B8" w:rsidRPr="000B23B8" w14:paraId="600E94AE" w14:textId="77777777" w:rsidTr="000B23B8">
        <w:trPr>
          <w:trHeight w:val="1992"/>
        </w:trPr>
        <w:tc>
          <w:tcPr>
            <w:tcW w:w="155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A96C1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Постмодернистский (пространственный)</w:t>
            </w:r>
          </w:p>
        </w:tc>
        <w:tc>
          <w:tcPr>
            <w:tcW w:w="2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65BC8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«Достигнутый уровень потенциала, предопределяющий возможности оптимальной комбинации и использования всех видов ресурсов на основании знаний, опыта, технологий и инноваций» </w:t>
            </w:r>
          </w:p>
        </w:tc>
        <w:tc>
          <w:tcPr>
            <w:tcW w:w="132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BD02F" w14:textId="5E9B51DB" w:rsidR="000B23B8" w:rsidRPr="000B23B8" w:rsidRDefault="000B23B8" w:rsidP="000B23B8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Галданова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 Е. В.</w:t>
            </w:r>
          </w:p>
        </w:tc>
      </w:tr>
      <w:tr w:rsidR="000B23B8" w:rsidRPr="000B23B8" w14:paraId="3304D9F8" w14:textId="77777777" w:rsidTr="000B23B8">
        <w:trPr>
          <w:trHeight w:val="699"/>
        </w:trPr>
        <w:tc>
          <w:tcPr>
            <w:tcW w:w="155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ACFD9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Фундаментальный</w:t>
            </w:r>
          </w:p>
        </w:tc>
        <w:tc>
          <w:tcPr>
            <w:tcW w:w="212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47C3D" w14:textId="77777777" w:rsidR="000B23B8" w:rsidRPr="000B23B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Факторы, определяющие территориальную диспропорцию в размещении сельскохозяйственных предприятий в зависимости от эффективности ведения сельского хозяйства (потенциала территории) - ЭГП, обеспеченности рабочей силой. Детерминизм сельскохозяйственного потенциала природной средой. Потенциал как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биотехникоэкономическая</w:t>
            </w:r>
            <w:proofErr w:type="spellEnd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 система</w:t>
            </w:r>
          </w:p>
        </w:tc>
        <w:tc>
          <w:tcPr>
            <w:tcW w:w="1320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D09C31" w14:textId="26188DCE" w:rsidR="000B23B8" w:rsidRPr="000B23B8" w:rsidRDefault="000B23B8" w:rsidP="000B23B8">
            <w:pPr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А.Н. Ракитников, В.Г. Крючков,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 xml:space="preserve">П.А. </w:t>
            </w:r>
            <w:proofErr w:type="spellStart"/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Клемышев</w:t>
            </w:r>
            <w:proofErr w:type="spellEnd"/>
          </w:p>
        </w:tc>
      </w:tr>
      <w:tr w:rsidR="000B23B8" w:rsidRPr="000B23B8" w14:paraId="71D88BFE" w14:textId="77777777" w:rsidTr="000B23B8">
        <w:trPr>
          <w:trHeight w:val="699"/>
        </w:trPr>
        <w:tc>
          <w:tcPr>
            <w:tcW w:w="5000" w:type="pct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1E9F78" w14:textId="65C2854E" w:rsidR="000B23B8" w:rsidRPr="001E3998" w:rsidRDefault="000B23B8" w:rsidP="000B23B8">
            <w:pPr>
              <w:spacing w:line="240" w:lineRule="auto"/>
              <w:ind w:firstLine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B23B8">
              <w:rPr>
                <w:rFonts w:ascii="Times New Roman" w:hAnsi="Times New Roman" w:cs="Times New Roman"/>
                <w:sz w:val="18"/>
                <w:szCs w:val="18"/>
              </w:rPr>
              <w:t>Источник: составлено автором</w:t>
            </w:r>
            <w:r w:rsidR="00AA5B53">
              <w:rPr>
                <w:rFonts w:ascii="Times New Roman" w:hAnsi="Times New Roman" w:cs="Times New Roman"/>
                <w:sz w:val="18"/>
                <w:szCs w:val="18"/>
              </w:rPr>
              <w:t xml:space="preserve"> по данным </w:t>
            </w:r>
            <w:r w:rsidR="001E3998" w:rsidRPr="001E3998">
              <w:rPr>
                <w:rFonts w:ascii="Times New Roman" w:hAnsi="Times New Roman" w:cs="Times New Roman"/>
                <w:sz w:val="18"/>
                <w:szCs w:val="18"/>
              </w:rPr>
              <w:t>[1, 3-7, 9-27]</w:t>
            </w:r>
          </w:p>
        </w:tc>
      </w:tr>
    </w:tbl>
    <w:p w14:paraId="295D6A64" w14:textId="77777777" w:rsidR="004831E2" w:rsidRDefault="004831E2" w:rsidP="004831E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8ED71CA" w14:textId="5682749F" w:rsidR="004831E2" w:rsidRDefault="00C327DD" w:rsidP="004831E2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327DD">
        <w:rPr>
          <w:rFonts w:ascii="Times New Roman" w:hAnsi="Times New Roman" w:cs="Times New Roman"/>
          <w:sz w:val="24"/>
          <w:szCs w:val="24"/>
        </w:rPr>
        <w:t xml:space="preserve">Анализ работ по исследованию сельскохозяйственного потенциала потребовал корректировки имеющихся определений в связи с необходимостью его формализованной оценки с помощью верифицируемых методик. Предлагаемая трактовка термина, при этом, позволяет учесть преимущества территориальных и ресурсно-отраслевых подходов. Так, понятие «сельскохозяйственный потенциал» -– это часть агропромышленного потенциала территории, состоящая из отдельных </w:t>
      </w:r>
      <w:proofErr w:type="spellStart"/>
      <w:r w:rsidRPr="00C327DD">
        <w:rPr>
          <w:rFonts w:ascii="Times New Roman" w:hAnsi="Times New Roman" w:cs="Times New Roman"/>
          <w:sz w:val="24"/>
          <w:szCs w:val="24"/>
        </w:rPr>
        <w:t>субпотенциалов</w:t>
      </w:r>
      <w:proofErr w:type="spellEnd"/>
      <w:r w:rsidRPr="00C327DD">
        <w:rPr>
          <w:rFonts w:ascii="Times New Roman" w:hAnsi="Times New Roman" w:cs="Times New Roman"/>
          <w:sz w:val="24"/>
          <w:szCs w:val="24"/>
        </w:rPr>
        <w:t xml:space="preserve"> – природного, трудового и материально-технического</w:t>
      </w:r>
      <w:r w:rsidR="00AA5B53">
        <w:rPr>
          <w:rFonts w:ascii="Times New Roman" w:hAnsi="Times New Roman" w:cs="Times New Roman"/>
          <w:sz w:val="24"/>
          <w:szCs w:val="24"/>
        </w:rPr>
        <w:t xml:space="preserve"> (</w:t>
      </w:r>
      <w:r w:rsidRPr="00C327DD">
        <w:rPr>
          <w:rFonts w:ascii="Times New Roman" w:hAnsi="Times New Roman" w:cs="Times New Roman"/>
          <w:sz w:val="24"/>
          <w:szCs w:val="24"/>
        </w:rPr>
        <w:t>производственного</w:t>
      </w:r>
      <w:r w:rsidR="00AA5B53">
        <w:rPr>
          <w:rFonts w:ascii="Times New Roman" w:hAnsi="Times New Roman" w:cs="Times New Roman"/>
          <w:sz w:val="24"/>
          <w:szCs w:val="24"/>
        </w:rPr>
        <w:t>)</w:t>
      </w:r>
      <w:r w:rsidRPr="00C327DD">
        <w:rPr>
          <w:rFonts w:ascii="Times New Roman" w:hAnsi="Times New Roman" w:cs="Times New Roman"/>
          <w:sz w:val="24"/>
          <w:szCs w:val="24"/>
        </w:rPr>
        <w:t xml:space="preserve"> в их возможном уровне реализации, позволяющем производить сельскохозяйственную продукцию в пределах той или иной территории при соблюдении условий материально-производственного и агроклиматического оптимумов с целью самообеспечения населения основными продуктами сельского хозяйства.</w:t>
      </w:r>
    </w:p>
    <w:p w14:paraId="3DB83377" w14:textId="011A66AD" w:rsidR="00AA5B53" w:rsidRPr="00AA5B53" w:rsidRDefault="00AA5B53" w:rsidP="00AA5B53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B53">
        <w:rPr>
          <w:rFonts w:ascii="Times New Roman" w:hAnsi="Times New Roman" w:cs="Times New Roman"/>
          <w:sz w:val="24"/>
          <w:szCs w:val="24"/>
        </w:rPr>
        <w:t xml:space="preserve">Агроклиматический </w:t>
      </w:r>
      <w:proofErr w:type="spellStart"/>
      <w:r w:rsidRPr="00AA5B53">
        <w:rPr>
          <w:rFonts w:ascii="Times New Roman" w:hAnsi="Times New Roman" w:cs="Times New Roman"/>
          <w:sz w:val="24"/>
          <w:szCs w:val="24"/>
        </w:rPr>
        <w:t>субпотенциал</w:t>
      </w:r>
      <w:proofErr w:type="spellEnd"/>
      <w:r w:rsidRPr="00AA5B53">
        <w:rPr>
          <w:rFonts w:ascii="Times New Roman" w:hAnsi="Times New Roman" w:cs="Times New Roman"/>
          <w:sz w:val="24"/>
          <w:szCs w:val="24"/>
        </w:rPr>
        <w:t xml:space="preserve"> оценивает природные условия развития сельского хозяйства Нечерноземья через сумму активных температур, </w:t>
      </w:r>
      <w:r w:rsidR="0028248B">
        <w:rPr>
          <w:rFonts w:ascii="Times New Roman" w:hAnsi="Times New Roman" w:cs="Times New Roman"/>
          <w:sz w:val="24"/>
          <w:szCs w:val="24"/>
        </w:rPr>
        <w:t>гидротермический коэффициент (</w:t>
      </w:r>
      <w:r w:rsidRPr="00AA5B53">
        <w:rPr>
          <w:rFonts w:ascii="Times New Roman" w:hAnsi="Times New Roman" w:cs="Times New Roman"/>
          <w:sz w:val="24"/>
          <w:szCs w:val="24"/>
        </w:rPr>
        <w:t>ГТК</w:t>
      </w:r>
      <w:r w:rsidR="0028248B">
        <w:rPr>
          <w:rFonts w:ascii="Times New Roman" w:hAnsi="Times New Roman" w:cs="Times New Roman"/>
          <w:sz w:val="24"/>
          <w:szCs w:val="24"/>
        </w:rPr>
        <w:t>)</w:t>
      </w:r>
      <w:r w:rsidRPr="00AA5B53">
        <w:rPr>
          <w:rFonts w:ascii="Times New Roman" w:hAnsi="Times New Roman" w:cs="Times New Roman"/>
          <w:sz w:val="24"/>
          <w:szCs w:val="24"/>
        </w:rPr>
        <w:t xml:space="preserve"> и бонитет почв. Показатели усреднялись относительно среднего уровня по региону, данные по площадям исключены из-за устаревания и </w:t>
      </w:r>
      <w:proofErr w:type="spellStart"/>
      <w:r w:rsidRPr="00AA5B53">
        <w:rPr>
          <w:rFonts w:ascii="Times New Roman" w:hAnsi="Times New Roman" w:cs="Times New Roman"/>
          <w:sz w:val="24"/>
          <w:szCs w:val="24"/>
        </w:rPr>
        <w:t>малопродуктивности</w:t>
      </w:r>
      <w:proofErr w:type="spellEnd"/>
      <w:r w:rsidRPr="00AA5B53">
        <w:rPr>
          <w:rFonts w:ascii="Times New Roman" w:hAnsi="Times New Roman" w:cs="Times New Roman"/>
          <w:sz w:val="24"/>
          <w:szCs w:val="24"/>
        </w:rPr>
        <w:t xml:space="preserve"> северных пастбищ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5C0CA68" w14:textId="5D4A8669" w:rsidR="00AA5B53" w:rsidRDefault="00AA5B53" w:rsidP="00AA5B53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5B53">
        <w:rPr>
          <w:rFonts w:ascii="Times New Roman" w:hAnsi="Times New Roman" w:cs="Times New Roman"/>
          <w:sz w:val="24"/>
          <w:szCs w:val="24"/>
        </w:rPr>
        <w:t xml:space="preserve">Наибольшие значения (0,59) - в южных зонах: лесостепной (высокие температуры, оптимальный ГТК, почвы на 40% менее продуктивны чернозёмов), </w:t>
      </w:r>
      <w:proofErr w:type="spellStart"/>
      <w:r w:rsidRPr="00AA5B53">
        <w:rPr>
          <w:rFonts w:ascii="Times New Roman" w:hAnsi="Times New Roman" w:cs="Times New Roman"/>
          <w:sz w:val="24"/>
          <w:szCs w:val="24"/>
        </w:rPr>
        <w:t>северостепной</w:t>
      </w:r>
      <w:proofErr w:type="spellEnd"/>
      <w:r w:rsidRPr="00AA5B5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AA5B53">
        <w:rPr>
          <w:rFonts w:ascii="Times New Roman" w:hAnsi="Times New Roman" w:cs="Times New Roman"/>
          <w:sz w:val="24"/>
          <w:szCs w:val="24"/>
        </w:rPr>
        <w:t>южнотаежной</w:t>
      </w:r>
      <w:proofErr w:type="spellEnd"/>
      <w:r w:rsidRPr="00AA5B53">
        <w:rPr>
          <w:rFonts w:ascii="Times New Roman" w:hAnsi="Times New Roman" w:cs="Times New Roman"/>
          <w:sz w:val="24"/>
          <w:szCs w:val="24"/>
        </w:rPr>
        <w:t xml:space="preserve"> Прибалтийской (Калининградская область с повышенной влажностью, требующей мелиорации).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A5B53">
        <w:rPr>
          <w:rFonts w:ascii="Times New Roman" w:hAnsi="Times New Roman" w:cs="Times New Roman"/>
          <w:sz w:val="24"/>
          <w:szCs w:val="24"/>
        </w:rPr>
        <w:t>Снижение показателей наблюдается к северу: от 0,56 (</w:t>
      </w:r>
      <w:proofErr w:type="spellStart"/>
      <w:r w:rsidRPr="00AA5B53">
        <w:rPr>
          <w:rFonts w:ascii="Times New Roman" w:hAnsi="Times New Roman" w:cs="Times New Roman"/>
          <w:sz w:val="24"/>
          <w:szCs w:val="24"/>
        </w:rPr>
        <w:t>южнотаежная</w:t>
      </w:r>
      <w:proofErr w:type="spellEnd"/>
      <w:r w:rsidRPr="00AA5B53">
        <w:rPr>
          <w:rFonts w:ascii="Times New Roman" w:hAnsi="Times New Roman" w:cs="Times New Roman"/>
          <w:sz w:val="24"/>
          <w:szCs w:val="24"/>
        </w:rPr>
        <w:t xml:space="preserve"> южная) до 0,53 (среднетаежная южная) с переходом к кормовым культурам. В тундровой зоне </w:t>
      </w:r>
      <w:proofErr w:type="spellStart"/>
      <w:r w:rsidRPr="00AA5B53">
        <w:rPr>
          <w:rFonts w:ascii="Times New Roman" w:hAnsi="Times New Roman" w:cs="Times New Roman"/>
          <w:sz w:val="24"/>
          <w:szCs w:val="24"/>
        </w:rPr>
        <w:t>субпотенциал</w:t>
      </w:r>
      <w:proofErr w:type="spellEnd"/>
      <w:r w:rsidRPr="00AA5B53">
        <w:rPr>
          <w:rFonts w:ascii="Times New Roman" w:hAnsi="Times New Roman" w:cs="Times New Roman"/>
          <w:sz w:val="24"/>
          <w:szCs w:val="24"/>
        </w:rPr>
        <w:t xml:space="preserve"> падает до 0,27 из-за дефицита тепла и роста ГТК. Горные районы Свердловской области исключены из анализа</w:t>
      </w:r>
      <w:r w:rsidR="0028248B">
        <w:rPr>
          <w:rFonts w:ascii="Times New Roman" w:hAnsi="Times New Roman" w:cs="Times New Roman"/>
          <w:sz w:val="24"/>
          <w:szCs w:val="24"/>
        </w:rPr>
        <w:t xml:space="preserve"> (рис.1).</w:t>
      </w:r>
    </w:p>
    <w:p w14:paraId="7892E082" w14:textId="75501485" w:rsidR="0028248B" w:rsidRDefault="00AE4FB4" w:rsidP="00AE4FB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sz w:val="24"/>
          <w:szCs w:val="20"/>
          <w:lang w:eastAsia="ru-RU"/>
        </w:rPr>
        <w:lastRenderedPageBreak/>
        <w:drawing>
          <wp:inline distT="0" distB="0" distL="0" distR="0" wp14:anchorId="4B9BECC6" wp14:editId="35C22D49">
            <wp:extent cx="3053662" cy="4320000"/>
            <wp:effectExtent l="0" t="0" r="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3662" cy="43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302BB4" w14:textId="00073721" w:rsidR="00AE4FB4" w:rsidRDefault="00AE4FB4" w:rsidP="00AE4FB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1. Агроклиматический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субпотенциал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районов Нечерноземья</w:t>
      </w:r>
    </w:p>
    <w:p w14:paraId="2FDA9A06" w14:textId="175CA8D0" w:rsidR="00AE4FB4" w:rsidRPr="001E3998" w:rsidRDefault="00AE4FB4" w:rsidP="00AE4FB4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Источник: составлено автором по данным </w:t>
      </w:r>
      <w:r w:rsidR="001E3998" w:rsidRPr="001E3998">
        <w:rPr>
          <w:rFonts w:ascii="Times New Roman" w:hAnsi="Times New Roman" w:cs="Times New Roman"/>
          <w:sz w:val="20"/>
          <w:szCs w:val="20"/>
        </w:rPr>
        <w:t>[2,8]</w:t>
      </w:r>
    </w:p>
    <w:p w14:paraId="3F3374F3" w14:textId="023087CF" w:rsidR="00AE4FB4" w:rsidRDefault="00AE4FB4" w:rsidP="00AE4FB4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4FB4">
        <w:rPr>
          <w:rFonts w:ascii="Times New Roman" w:hAnsi="Times New Roman" w:cs="Times New Roman"/>
          <w:sz w:val="24"/>
          <w:szCs w:val="24"/>
        </w:rPr>
        <w:t xml:space="preserve">Трудовой </w:t>
      </w:r>
      <w:proofErr w:type="spellStart"/>
      <w:r w:rsidRPr="00AE4FB4">
        <w:rPr>
          <w:rFonts w:ascii="Times New Roman" w:hAnsi="Times New Roman" w:cs="Times New Roman"/>
          <w:sz w:val="24"/>
          <w:szCs w:val="24"/>
        </w:rPr>
        <w:t>субпотенциал</w:t>
      </w:r>
      <w:proofErr w:type="spellEnd"/>
      <w:r w:rsidRPr="00AE4FB4">
        <w:rPr>
          <w:rFonts w:ascii="Times New Roman" w:hAnsi="Times New Roman" w:cs="Times New Roman"/>
          <w:sz w:val="24"/>
          <w:szCs w:val="24"/>
        </w:rPr>
        <w:t xml:space="preserve"> определяется тремя основными индексами: долей сельского населения, уровнем заработной платы и долей занятых в сельском хозяйстве. Лесостепная зона демонстрирует высокий трудовой </w:t>
      </w:r>
      <w:proofErr w:type="spellStart"/>
      <w:r w:rsidRPr="00AE4FB4">
        <w:rPr>
          <w:rFonts w:ascii="Times New Roman" w:hAnsi="Times New Roman" w:cs="Times New Roman"/>
          <w:sz w:val="24"/>
          <w:szCs w:val="24"/>
        </w:rPr>
        <w:t>субпотенциал</w:t>
      </w:r>
      <w:proofErr w:type="spellEnd"/>
      <w:r w:rsidRPr="00AE4FB4">
        <w:rPr>
          <w:rFonts w:ascii="Times New Roman" w:hAnsi="Times New Roman" w:cs="Times New Roman"/>
          <w:sz w:val="24"/>
          <w:szCs w:val="24"/>
        </w:rPr>
        <w:t xml:space="preserve"> благодаря более высоким показателям занятости в сельском хозяйстве и повышенной доле сельского населения. Также данная зона демонстрирует лучшую среди всех </w:t>
      </w:r>
      <w:proofErr w:type="spellStart"/>
      <w:r w:rsidRPr="00AE4FB4">
        <w:rPr>
          <w:rFonts w:ascii="Times New Roman" w:hAnsi="Times New Roman" w:cs="Times New Roman"/>
          <w:sz w:val="24"/>
          <w:szCs w:val="24"/>
        </w:rPr>
        <w:t>агроклиматичсеких</w:t>
      </w:r>
      <w:proofErr w:type="spellEnd"/>
      <w:r w:rsidRPr="00AE4FB4">
        <w:rPr>
          <w:rFonts w:ascii="Times New Roman" w:hAnsi="Times New Roman" w:cs="Times New Roman"/>
          <w:sz w:val="24"/>
          <w:szCs w:val="24"/>
        </w:rPr>
        <w:t xml:space="preserve"> зон динамику, что свидетельствует о сдвиге занятости в сельском хозяйстве Нечерноземья на юг, в то время как северные зоны характеризуются пониженными значениями данного показателя и отрицательной динамикой</w:t>
      </w:r>
      <w:r>
        <w:rPr>
          <w:rFonts w:ascii="Times New Roman" w:hAnsi="Times New Roman" w:cs="Times New Roman"/>
          <w:sz w:val="24"/>
          <w:szCs w:val="24"/>
        </w:rPr>
        <w:t xml:space="preserve"> (рис. 2)</w:t>
      </w:r>
      <w:r w:rsidRPr="00AE4FB4">
        <w:rPr>
          <w:rFonts w:ascii="Times New Roman" w:hAnsi="Times New Roman" w:cs="Times New Roman"/>
          <w:sz w:val="24"/>
          <w:szCs w:val="24"/>
        </w:rPr>
        <w:t>.</w:t>
      </w:r>
    </w:p>
    <w:p w14:paraId="1AD6C972" w14:textId="3C7B46B6" w:rsidR="00AE4FB4" w:rsidRDefault="00AE4FB4" w:rsidP="00AE4FB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90B8CE7" wp14:editId="160CBA06">
            <wp:extent cx="3054520" cy="4320000"/>
            <wp:effectExtent l="0" t="0" r="0" b="444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4520" cy="43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8C50D1" w14:textId="2E495863" w:rsidR="00AE4FB4" w:rsidRDefault="00AE4FB4" w:rsidP="00AE4FB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Трудовой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субпотенциал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муниципалитетов</w:t>
      </w:r>
      <w:r>
        <w:rPr>
          <w:rFonts w:ascii="Times New Roman" w:hAnsi="Times New Roman" w:cs="Times New Roman"/>
          <w:sz w:val="24"/>
          <w:szCs w:val="24"/>
        </w:rPr>
        <w:t xml:space="preserve"> Нечерноземья</w:t>
      </w:r>
      <w:r>
        <w:rPr>
          <w:rFonts w:ascii="Times New Roman" w:hAnsi="Times New Roman" w:cs="Times New Roman"/>
          <w:sz w:val="24"/>
          <w:szCs w:val="24"/>
        </w:rPr>
        <w:t xml:space="preserve"> в 2021-2023 гг.</w:t>
      </w:r>
    </w:p>
    <w:p w14:paraId="4F051E51" w14:textId="65367BA2" w:rsidR="00AE4FB4" w:rsidRPr="001E3998" w:rsidRDefault="00AE4FB4" w:rsidP="00AE4FB4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Источник: составлено автором по данным </w:t>
      </w:r>
      <w:r w:rsidR="001E3998" w:rsidRPr="001E3998">
        <w:rPr>
          <w:rFonts w:ascii="Times New Roman" w:hAnsi="Times New Roman" w:cs="Times New Roman"/>
          <w:sz w:val="20"/>
          <w:szCs w:val="20"/>
        </w:rPr>
        <w:t>[28]</w:t>
      </w:r>
    </w:p>
    <w:p w14:paraId="67897CA5" w14:textId="178AD342" w:rsidR="00045086" w:rsidRPr="00045086" w:rsidRDefault="00D55A7A" w:rsidP="00045086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5A7A">
        <w:rPr>
          <w:rFonts w:ascii="Times New Roman" w:hAnsi="Times New Roman" w:cs="Times New Roman"/>
          <w:sz w:val="24"/>
          <w:szCs w:val="24"/>
        </w:rPr>
        <w:t xml:space="preserve">На текущий момент лидерами по производственному </w:t>
      </w:r>
      <w:proofErr w:type="spellStart"/>
      <w:r w:rsidRPr="00D55A7A">
        <w:rPr>
          <w:rFonts w:ascii="Times New Roman" w:hAnsi="Times New Roman" w:cs="Times New Roman"/>
          <w:sz w:val="24"/>
          <w:szCs w:val="24"/>
        </w:rPr>
        <w:t>субпотенциалу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выделенному по показателям производства сельскохозяйственной продукции, </w:t>
      </w:r>
      <w:r w:rsidRPr="00D55A7A">
        <w:rPr>
          <w:rFonts w:ascii="Times New Roman" w:hAnsi="Times New Roman" w:cs="Times New Roman"/>
          <w:sz w:val="24"/>
          <w:szCs w:val="24"/>
        </w:rPr>
        <w:t xml:space="preserve"> являются Кировский и Псковский районы, а также </w:t>
      </w:r>
      <w:proofErr w:type="spellStart"/>
      <w:r w:rsidRPr="00D55A7A">
        <w:rPr>
          <w:rFonts w:ascii="Times New Roman" w:hAnsi="Times New Roman" w:cs="Times New Roman"/>
          <w:sz w:val="24"/>
          <w:szCs w:val="24"/>
        </w:rPr>
        <w:t>Чамзинский</w:t>
      </w:r>
      <w:proofErr w:type="spellEnd"/>
      <w:r w:rsidRPr="00D55A7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55A7A">
        <w:rPr>
          <w:rFonts w:ascii="Times New Roman" w:hAnsi="Times New Roman" w:cs="Times New Roman"/>
          <w:sz w:val="24"/>
          <w:szCs w:val="24"/>
        </w:rPr>
        <w:t>Лямбирский</w:t>
      </w:r>
      <w:proofErr w:type="spellEnd"/>
      <w:r w:rsidRPr="00D55A7A">
        <w:rPr>
          <w:rFonts w:ascii="Times New Roman" w:hAnsi="Times New Roman" w:cs="Times New Roman"/>
          <w:sz w:val="24"/>
          <w:szCs w:val="24"/>
        </w:rPr>
        <w:t xml:space="preserve"> районы Республики Мордовия и Рыбинский район Ярославской области. Эти </w:t>
      </w:r>
      <w:r>
        <w:rPr>
          <w:rFonts w:ascii="Times New Roman" w:hAnsi="Times New Roman" w:cs="Times New Roman"/>
          <w:sz w:val="24"/>
          <w:szCs w:val="24"/>
        </w:rPr>
        <w:t>районы</w:t>
      </w:r>
      <w:r w:rsidRPr="00D55A7A">
        <w:rPr>
          <w:rFonts w:ascii="Times New Roman" w:hAnsi="Times New Roman" w:cs="Times New Roman"/>
          <w:sz w:val="24"/>
          <w:szCs w:val="24"/>
        </w:rPr>
        <w:t xml:space="preserve"> демонстрируют рост объемов производства благодаря ключевым организациям, таким как агрофирма «Октябрьская» и птицефабрика «</w:t>
      </w:r>
      <w:proofErr w:type="spellStart"/>
      <w:r w:rsidRPr="00D55A7A">
        <w:rPr>
          <w:rFonts w:ascii="Times New Roman" w:hAnsi="Times New Roman" w:cs="Times New Roman"/>
          <w:sz w:val="24"/>
          <w:szCs w:val="24"/>
        </w:rPr>
        <w:t>Чамзинская</w:t>
      </w:r>
      <w:proofErr w:type="spellEnd"/>
      <w:r w:rsidRPr="00D55A7A">
        <w:rPr>
          <w:rFonts w:ascii="Times New Roman" w:hAnsi="Times New Roman" w:cs="Times New Roman"/>
          <w:sz w:val="24"/>
          <w:szCs w:val="24"/>
        </w:rPr>
        <w:t xml:space="preserve">». С 2021 по 2023 годы наблюдаются изменения в агроклиматических зонах: </w:t>
      </w:r>
      <w:proofErr w:type="spellStart"/>
      <w:r w:rsidRPr="00D55A7A">
        <w:rPr>
          <w:rFonts w:ascii="Times New Roman" w:hAnsi="Times New Roman" w:cs="Times New Roman"/>
          <w:sz w:val="24"/>
          <w:szCs w:val="24"/>
        </w:rPr>
        <w:t>южнотаежная</w:t>
      </w:r>
      <w:proofErr w:type="spellEnd"/>
      <w:r w:rsidRPr="00D55A7A">
        <w:rPr>
          <w:rFonts w:ascii="Times New Roman" w:hAnsi="Times New Roman" w:cs="Times New Roman"/>
          <w:sz w:val="24"/>
          <w:szCs w:val="24"/>
        </w:rPr>
        <w:t xml:space="preserve"> зона теряет позиции, уступая </w:t>
      </w:r>
      <w:proofErr w:type="spellStart"/>
      <w:r w:rsidRPr="00D55A7A">
        <w:rPr>
          <w:rFonts w:ascii="Times New Roman" w:hAnsi="Times New Roman" w:cs="Times New Roman"/>
          <w:sz w:val="24"/>
          <w:szCs w:val="24"/>
        </w:rPr>
        <w:t>северостепной</w:t>
      </w:r>
      <w:proofErr w:type="spellEnd"/>
      <w:r w:rsidRPr="00D55A7A">
        <w:rPr>
          <w:rFonts w:ascii="Times New Roman" w:hAnsi="Times New Roman" w:cs="Times New Roman"/>
          <w:sz w:val="24"/>
          <w:szCs w:val="24"/>
        </w:rPr>
        <w:t xml:space="preserve"> и лесостепной зонам, которые показывают лучший прирост. Также отмечается сдвиг производства на север, где улучшились показатели тундровой зоны и других регионов. Среди муниципалитетов, нарастивших производство, выделяются Псковский и Кировский районы, </w:t>
      </w:r>
      <w:proofErr w:type="spellStart"/>
      <w:r w:rsidRPr="00D55A7A">
        <w:rPr>
          <w:rFonts w:ascii="Times New Roman" w:hAnsi="Times New Roman" w:cs="Times New Roman"/>
          <w:sz w:val="24"/>
          <w:szCs w:val="24"/>
        </w:rPr>
        <w:t>Выгоничский</w:t>
      </w:r>
      <w:proofErr w:type="spellEnd"/>
      <w:r w:rsidRPr="00D55A7A">
        <w:rPr>
          <w:rFonts w:ascii="Times New Roman" w:hAnsi="Times New Roman" w:cs="Times New Roman"/>
          <w:sz w:val="24"/>
          <w:szCs w:val="24"/>
        </w:rPr>
        <w:t xml:space="preserve"> район Брянской области, </w:t>
      </w:r>
      <w:proofErr w:type="spellStart"/>
      <w:r w:rsidRPr="00D55A7A">
        <w:rPr>
          <w:rFonts w:ascii="Times New Roman" w:hAnsi="Times New Roman" w:cs="Times New Roman"/>
          <w:sz w:val="24"/>
          <w:szCs w:val="24"/>
        </w:rPr>
        <w:t>Чамзинский</w:t>
      </w:r>
      <w:proofErr w:type="spellEnd"/>
      <w:r w:rsidRPr="00D55A7A">
        <w:rPr>
          <w:rFonts w:ascii="Times New Roman" w:hAnsi="Times New Roman" w:cs="Times New Roman"/>
          <w:sz w:val="24"/>
          <w:szCs w:val="24"/>
        </w:rPr>
        <w:t xml:space="preserve"> район Республики Мордовия и </w:t>
      </w:r>
      <w:proofErr w:type="spellStart"/>
      <w:r w:rsidRPr="00D55A7A">
        <w:rPr>
          <w:rFonts w:ascii="Times New Roman" w:hAnsi="Times New Roman" w:cs="Times New Roman"/>
          <w:sz w:val="24"/>
          <w:szCs w:val="24"/>
        </w:rPr>
        <w:t>Воловский</w:t>
      </w:r>
      <w:proofErr w:type="spellEnd"/>
      <w:r w:rsidRPr="00D55A7A">
        <w:rPr>
          <w:rFonts w:ascii="Times New Roman" w:hAnsi="Times New Roman" w:cs="Times New Roman"/>
          <w:sz w:val="24"/>
          <w:szCs w:val="24"/>
        </w:rPr>
        <w:t xml:space="preserve"> район Тульской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(рис. 3)</w:t>
      </w:r>
      <w:r w:rsidRPr="00D55A7A">
        <w:rPr>
          <w:rFonts w:ascii="Times New Roman" w:hAnsi="Times New Roman" w:cs="Times New Roman"/>
          <w:sz w:val="24"/>
          <w:szCs w:val="24"/>
        </w:rPr>
        <w:t>.</w:t>
      </w:r>
    </w:p>
    <w:p w14:paraId="63BCCDFF" w14:textId="5DA92527" w:rsidR="00AE4FB4" w:rsidRDefault="00AE4FB4" w:rsidP="00AE4FB4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D03294D" w14:textId="5143D7EE" w:rsidR="00045086" w:rsidRDefault="00045086" w:rsidP="0004508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246CBAD" wp14:editId="471E1206">
            <wp:extent cx="3054520" cy="4320000"/>
            <wp:effectExtent l="0" t="0" r="0" b="444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4520" cy="43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B112C9" w14:textId="2CE4A64A" w:rsidR="00045086" w:rsidRDefault="00045086" w:rsidP="0004508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Производственный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субпотенциал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муниципалитетов Нечерноземья в 2021-2023 гг.</w:t>
      </w:r>
    </w:p>
    <w:p w14:paraId="3C2AB0DD" w14:textId="24A375A1" w:rsidR="00045086" w:rsidRPr="003F0A36" w:rsidRDefault="00045086" w:rsidP="00045086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Источник: составлено автором по данным </w:t>
      </w:r>
      <w:r w:rsidR="003F0A36" w:rsidRPr="003F0A36">
        <w:rPr>
          <w:rFonts w:ascii="Times New Roman" w:hAnsi="Times New Roman" w:cs="Times New Roman"/>
          <w:sz w:val="20"/>
          <w:szCs w:val="20"/>
        </w:rPr>
        <w:t>[28]</w:t>
      </w:r>
    </w:p>
    <w:p w14:paraId="32BF9DF4" w14:textId="279FC0F4" w:rsidR="00045086" w:rsidRPr="00AE4FB4" w:rsidRDefault="00D55A7A" w:rsidP="00D55A7A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в работе оценивались основные теоретические подходы к термину «потенциал развития сельского хозяйства», в результате чего удалось сформировать авторский подход к трактовке данного термина. Ключевые факторы формирования потенциала развития сельского хозяйства – природный, трудовой и производственный – неоднородны. Взвешивание и агрегирование отдельных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субпотенциалов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позволило выделить отдельные районы, ранжированные по перспективности ведения сельскохозяйственного производства в современных реалиях. Так, наиболее перспективные районы тяготеют к юго-западной части Нечерноземья, а также к крупнейшим агломерациям, что позволяет формировать рекомендательные стратегии по перспективам развития производства с целью самообеспечения населения важнейшими видами сельскохозяйственной продукции. </w:t>
      </w:r>
    </w:p>
    <w:p w14:paraId="60548CC1" w14:textId="578A28DA" w:rsidR="00AE4FB4" w:rsidRDefault="00AE4FB4" w:rsidP="00AE4FB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7CBA022" w14:textId="5EF6FDAE" w:rsidR="00AE26F9" w:rsidRDefault="00AE26F9" w:rsidP="00AE26F9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E26F9">
        <w:rPr>
          <w:rFonts w:ascii="Times New Roman" w:hAnsi="Times New Roman" w:cs="Times New Roman"/>
          <w:b/>
          <w:bCs/>
          <w:sz w:val="24"/>
          <w:szCs w:val="24"/>
        </w:rPr>
        <w:t xml:space="preserve">Библиографический список на русском языке </w:t>
      </w:r>
    </w:p>
    <w:p w14:paraId="7B20BBD1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Авдеенко В.Н., Котлов В.А. Производственный потенциал промышленного предприятия. - М.: Экономика, 1989. - 240 с</w:t>
      </w:r>
    </w:p>
    <w:p w14:paraId="31D22F85" w14:textId="77777777" w:rsidR="003F0A36" w:rsidRPr="003F0A36" w:rsidRDefault="003F0A36" w:rsidP="00E92BB4">
      <w:pPr>
        <w:pStyle w:val="a5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Аветов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Н. А. и др. Национальный атлас почв Российской Федерации. – Издательство" Астрель", 2011.</w:t>
      </w:r>
    </w:p>
    <w:p w14:paraId="6775DF0D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 xml:space="preserve">Андреев А.В. Эффективность использования производственного потенциала пищевой промышленности: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>. – Российский государственный социальный университет, 2002.</w:t>
      </w:r>
    </w:p>
    <w:p w14:paraId="2FFAD87B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Андрейчук В.Г. Обоснование показателей общего эффекта для оценки использования производственного потенциала // Экономика сельского хозяйства. – 1984. – №. 6. – С. 43-50.</w:t>
      </w:r>
    </w:p>
    <w:p w14:paraId="454FA998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lastRenderedPageBreak/>
        <w:t>Анчишкин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А.И. Научно-технический прогресс и интенсификация производства //Известия Академии наук СССР. Серия экономическая. – 1981. – №. 2. – С. 18-28.</w:t>
      </w:r>
    </w:p>
    <w:p w14:paraId="1C2A0DEE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Баканов М.И., Мельник М.В., Шеремет А.Д. Теория экономического анализа. – Финансы и статистика, 2005.</w:t>
      </w:r>
    </w:p>
    <w:p w14:paraId="1465118B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Бунина А.Ю. Ресурсный потенциал в современных условиях хозяйствования предприятий АПК / А.Ю. Бунина // Вестник Воронежского государственного университета. – 2009. – № 2. – С. 76–84.</w:t>
      </w:r>
    </w:p>
    <w:p w14:paraId="045ED02D" w14:textId="77777777" w:rsidR="003F0A36" w:rsidRPr="003F0A36" w:rsidRDefault="003F0A36" w:rsidP="00E92BB4">
      <w:pPr>
        <w:pStyle w:val="a5"/>
        <w:numPr>
          <w:ilvl w:val="0"/>
          <w:numId w:val="2"/>
        </w:numPr>
        <w:spacing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 xml:space="preserve">Веденин Ю. А. и др. Национальный атлас России. –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Роскартография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>, 2008.</w:t>
      </w:r>
    </w:p>
    <w:p w14:paraId="4464F72F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Галданова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Е.В. Формирование и использование пространственного потенциала развития сельского хозяйства региона: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>. – Вост.-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Сиб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>. гос. ун-т технологий и упр., 2016.</w:t>
      </w:r>
    </w:p>
    <w:p w14:paraId="706B9FB0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Дохолян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С.В.,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Умавов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Ю.Д. Ресурсный потенциал аграрной сферы региона //Экономика и предпринимательство. – 2012. – №. 1. – С. 37-44.</w:t>
      </w:r>
    </w:p>
    <w:p w14:paraId="6BDA0611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Зинченко А.П. Структурная политика и использование производственного потенциала сельского хозяйства // АПК: экономика, управление. – 1996. – №. 2. – С. 15-18.</w:t>
      </w:r>
    </w:p>
    <w:p w14:paraId="2627A001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Кельчевская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Н.Р.,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Пелымская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И.С., Андреева Е.В. Развитие ресурсного потенциала регионального агропромышленного комплекса: монография / Н.Р.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Кельчевская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, И.С.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Пелымская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>, Е.В. Андреева. – Москва: издательство «Креативная экономика», 2021. – 128 с</w:t>
      </w:r>
    </w:p>
    <w:p w14:paraId="59321A82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Клемышев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П.А. Вопросы оценки и анализа технико-экономического потенциала сельского хозяйства // Сборник технико-экономический потенциал сельского хозяйства под ред.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Клемышева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П.А. РУ ВНИЭТУСХ, Москва. – С. 1-34.</w:t>
      </w:r>
    </w:p>
    <w:p w14:paraId="722FC663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Кошелев, В.М. Оценка экспортного потенциала АПК России: монография / В.М. Кошелев, Д.С. Алексанов, М.А. Романюк, Н.В. Чекмарева [и др.]; Российский государственный аграрный университет – МСХА имени К. А. Тимирязева. – Москва: РГАУ-МСХА имени К. А. Тимирязева, 2022. – 199 с.</w:t>
      </w:r>
    </w:p>
    <w:p w14:paraId="2DDACA03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Крастинь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О.П. Применение регрессионного анализа в исследованиях экономики сельского хозяйства // Рига: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Зинатне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>, 1976. - 250 с.</w:t>
      </w:r>
    </w:p>
    <w:p w14:paraId="3D84AD48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Крючков В.Г. Проблемы и методы системного экономико-географического исследования для прогнозирования эффективной территориальной организации сельского хозяйства: диссертация ... доктора географических наук: 11.00.02. – Москва, 1978. - 436 с.: ил.</w:t>
      </w:r>
    </w:p>
    <w:p w14:paraId="25F874FB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 xml:space="preserve">Панина Е.Б. Особенности формирования и использования производственного потенциала сельскохозяйственных предприятий в рыночных условиях хозяйствования: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>. – диссертация на соискание ученой степени кандидата экономических наук / Воронежский государственный аграрный университет им. КД Глинки. Воронеж, 2007.</w:t>
      </w:r>
    </w:p>
    <w:p w14:paraId="47AC8225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Попова А.Л. Теоретические подходы к понятию ресурсного потенциала инновационных процессов в АПК / А.Л. Попова // Международный научный журнал «Символ науки». – 2015. – № 8. – С. 119–120</w:t>
      </w:r>
    </w:p>
    <w:p w14:paraId="4009B1CA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Пошкус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Б.И.  Особенности аграрной реформы в России // АПК: экономика, управление. – 1996. – №. 2. – С. 3-5.</w:t>
      </w:r>
    </w:p>
    <w:p w14:paraId="4EF65EE2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Прущак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О.В. Методические подходы к комплексной оценке ресурсного потенциала АПК региона // Промышленность: экономика, управление, технологии. – 2017. – №. 5 (69). – С. 110-115.</w:t>
      </w:r>
    </w:p>
    <w:p w14:paraId="5CA2EF66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Ракитников А.Н. География сельского хозяйства М.: Мысль, 1970.</w:t>
      </w:r>
    </w:p>
    <w:p w14:paraId="71C6FA16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Ревуцкий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Л.Д. Потенциал и стоимость предприятия: монография. М: Перспектива, 1997. 128 с.</w:t>
      </w:r>
    </w:p>
    <w:p w14:paraId="79751C9E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Свободин В.А. Вопросы определения и эффективности производственного потенциала //АПК: экономика, управление. – 1991. – №. 3. – С. 27.</w:t>
      </w:r>
    </w:p>
    <w:p w14:paraId="1CD7D8B4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lastRenderedPageBreak/>
        <w:t>Сергеев С.С. Производственные мощности и производственный потенциал сельскохозяйственных предприятий // Вестник сельскохозяйственной науки. – 1985. – №. 5. – С. 14-19.</w:t>
      </w:r>
    </w:p>
    <w:p w14:paraId="1FA13C3F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0A36">
        <w:rPr>
          <w:rFonts w:ascii="Times New Roman" w:hAnsi="Times New Roman" w:cs="Times New Roman"/>
          <w:sz w:val="24"/>
          <w:szCs w:val="24"/>
        </w:rPr>
        <w:t>Смагаринский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И.А. Экономическая оценка природных ресурсов и рациональное природопользование. – Воронеж: Изд-во Воронежского университета, 1981, 109 с.</w:t>
      </w:r>
    </w:p>
    <w:p w14:paraId="079101F9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Филатова С.В. Проблемы формирования ресурсного потенциала предприятий АПК / С.В. Филатова // Закономерности развития региональных агропродовольственных систем. – 2016. – № 1. – С. 150–152.</w:t>
      </w:r>
    </w:p>
    <w:p w14:paraId="61057310" w14:textId="77777777" w:rsidR="003F0A36" w:rsidRPr="003F0A36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 xml:space="preserve">Юзефович А. Э. Аграрный ресурсный потенциал: формирование и использование //К.: </w:t>
      </w:r>
      <w:proofErr w:type="spellStart"/>
      <w:r w:rsidRPr="003F0A36">
        <w:rPr>
          <w:rFonts w:ascii="Times New Roman" w:hAnsi="Times New Roman" w:cs="Times New Roman"/>
          <w:sz w:val="24"/>
          <w:szCs w:val="24"/>
        </w:rPr>
        <w:t>Наукова</w:t>
      </w:r>
      <w:proofErr w:type="spellEnd"/>
      <w:r w:rsidRPr="003F0A36">
        <w:rPr>
          <w:rFonts w:ascii="Times New Roman" w:hAnsi="Times New Roman" w:cs="Times New Roman"/>
          <w:sz w:val="24"/>
          <w:szCs w:val="24"/>
        </w:rPr>
        <w:t xml:space="preserve"> думка. – 1987. – 175 с.</w:t>
      </w:r>
    </w:p>
    <w:p w14:paraId="483DA49B" w14:textId="28AAF93E" w:rsidR="00E92BB4" w:rsidRDefault="003F0A36" w:rsidP="00E92BB4">
      <w:pPr>
        <w:pStyle w:val="a5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0A36">
        <w:rPr>
          <w:rFonts w:ascii="Times New Roman" w:hAnsi="Times New Roman" w:cs="Times New Roman"/>
          <w:sz w:val="24"/>
          <w:szCs w:val="24"/>
        </w:rPr>
        <w:t>Портал Федеральной службы государственной статистики. Электронный ресурс. Режим доступа: https://rosstat.gov.ru/. Дата обращения: 12.04.202</w:t>
      </w:r>
      <w:r>
        <w:rPr>
          <w:rFonts w:ascii="Times New Roman" w:hAnsi="Times New Roman" w:cs="Times New Roman"/>
          <w:sz w:val="24"/>
          <w:szCs w:val="24"/>
        </w:rPr>
        <w:t>5</w:t>
      </w:r>
    </w:p>
    <w:p w14:paraId="42288595" w14:textId="783D0386" w:rsidR="00E92BB4" w:rsidRDefault="00E92BB4" w:rsidP="00E92BB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7BD2FDA" w14:textId="6F37D447" w:rsidR="00E92BB4" w:rsidRPr="00E92BB4" w:rsidRDefault="00E92BB4" w:rsidP="00E92BB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2BB4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авторе:</w:t>
      </w:r>
      <w:r>
        <w:rPr>
          <w:rFonts w:ascii="Times New Roman" w:hAnsi="Times New Roman" w:cs="Times New Roman"/>
          <w:sz w:val="24"/>
          <w:szCs w:val="24"/>
        </w:rPr>
        <w:t xml:space="preserve"> Радикевич Андрей Витальевич (Российская Федерация, Москва) – аспирант кафедры Экономической и социальной географии России Географического факультета МГУ им. М.В. Ломоносова, </w:t>
      </w:r>
      <w:r w:rsidRPr="00E92BB4">
        <w:rPr>
          <w:rFonts w:ascii="Times New Roman" w:hAnsi="Times New Roman" w:cs="Times New Roman"/>
          <w:sz w:val="24"/>
          <w:szCs w:val="24"/>
        </w:rPr>
        <w:t>119991, Российская Федерация, Москва, Ленинские Горы, д.</w:t>
      </w:r>
      <w:r>
        <w:rPr>
          <w:rFonts w:ascii="Times New Roman" w:hAnsi="Times New Roman" w:cs="Times New Roman"/>
          <w:sz w:val="24"/>
          <w:szCs w:val="24"/>
        </w:rPr>
        <w:t xml:space="preserve">1, 21 эт., </w:t>
      </w:r>
      <w:hyperlink r:id="rId11" w:history="1">
        <w:r w:rsidRPr="003C69B0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radikevich</w:t>
        </w:r>
        <w:r w:rsidRPr="003C69B0">
          <w:rPr>
            <w:rStyle w:val="a6"/>
            <w:rFonts w:ascii="Times New Roman" w:hAnsi="Times New Roman" w:cs="Times New Roman"/>
            <w:sz w:val="24"/>
            <w:szCs w:val="24"/>
          </w:rPr>
          <w:t>1998@</w:t>
        </w:r>
        <w:r w:rsidRPr="003C69B0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3C69B0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3C69B0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14:paraId="3CAEEF56" w14:textId="4BD79E1B" w:rsidR="00E92BB4" w:rsidRDefault="00E92BB4" w:rsidP="00E92BB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B3A54E1" w14:textId="4504D62B" w:rsidR="00E92BB4" w:rsidRPr="00E92BB4" w:rsidRDefault="00E92BB4" w:rsidP="00E92BB4">
      <w:pPr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E92BB4">
        <w:rPr>
          <w:rFonts w:ascii="Times New Roman" w:hAnsi="Times New Roman" w:cs="Times New Roman"/>
          <w:b/>
          <w:bCs/>
          <w:sz w:val="24"/>
          <w:szCs w:val="24"/>
          <w:lang w:val="en-US"/>
        </w:rPr>
        <w:t>Radikevich</w:t>
      </w:r>
      <w:proofErr w:type="spellEnd"/>
      <w:r w:rsidRPr="00E92BB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A.V.</w:t>
      </w:r>
    </w:p>
    <w:p w14:paraId="446EE124" w14:textId="5B8ED84B" w:rsidR="00AE26F9" w:rsidRDefault="00E92BB4" w:rsidP="00DC7D1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92BB4">
        <w:rPr>
          <w:rFonts w:ascii="Times New Roman" w:hAnsi="Times New Roman" w:cs="Times New Roman"/>
          <w:b/>
          <w:bCs/>
          <w:sz w:val="24"/>
          <w:szCs w:val="24"/>
          <w:lang w:val="en-US"/>
        </w:rPr>
        <w:t>POTENTIAL FOR AGRICULTURE DEVELOPMENT IN NON-</w:t>
      </w:r>
      <w:r w:rsidRPr="00E92BB4">
        <w:rPr>
          <w:rFonts w:ascii="Times New Roman" w:hAnsi="Times New Roman" w:cs="Times New Roman"/>
          <w:b/>
          <w:bCs/>
          <w:sz w:val="24"/>
          <w:szCs w:val="24"/>
          <w:lang w:val="en-US"/>
        </w:rPr>
        <w:t>CHERNOZEM</w:t>
      </w:r>
      <w:r w:rsidRPr="00E92BB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REGIONS OF RUSSIA: FACTORS AND THEORETICAL BASIS</w:t>
      </w:r>
    </w:p>
    <w:p w14:paraId="7957C777" w14:textId="77777777" w:rsidR="00DC7D16" w:rsidRDefault="00E92BB4" w:rsidP="00DC7D16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Abstract: </w:t>
      </w:r>
      <w:r w:rsidR="00DC7D16" w:rsidRPr="00DC7D16">
        <w:rPr>
          <w:rFonts w:ascii="Times New Roman" w:hAnsi="Times New Roman" w:cs="Times New Roman"/>
          <w:sz w:val="24"/>
          <w:szCs w:val="24"/>
          <w:lang w:val="en-US"/>
        </w:rPr>
        <w:t>The non-chernozem zone of Russia includes 32 regions, occupies 2.4 million km², with a population of 44 million (excluding Moscow and St. Petersburg). Over 20 years, the area under crops and employment in the agro-industrial complex have decreased, but the potential remains due to natural conditions and proximity to markets. Updating equipment and infrastructure is required to develop agriculture and overcome the crisis.</w:t>
      </w:r>
      <w:r w:rsidR="00DC7D16" w:rsidRPr="00DC7D1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</w:p>
    <w:p w14:paraId="5A93D235" w14:textId="378C07B5" w:rsidR="00DC7D16" w:rsidRDefault="00DC7D16" w:rsidP="00DC7D16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Key words: </w:t>
      </w:r>
      <w:r w:rsidRPr="00E92BB4">
        <w:rPr>
          <w:rFonts w:ascii="Times New Roman" w:hAnsi="Times New Roman" w:cs="Times New Roman"/>
          <w:sz w:val="24"/>
          <w:szCs w:val="24"/>
          <w:lang w:val="en-US"/>
        </w:rPr>
        <w:t>potential for agricultural development, factors in the formation of agricultural potential</w:t>
      </w:r>
    </w:p>
    <w:p w14:paraId="12107EC0" w14:textId="1DDB56FB" w:rsidR="00DC7D16" w:rsidRDefault="00DC7D16" w:rsidP="00DC7D16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2A49CC0" w14:textId="0D8DABC2" w:rsidR="00DC7D16" w:rsidRDefault="00DC7D16" w:rsidP="00DC7D16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C7D16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author:</w:t>
      </w:r>
      <w:r w:rsidRPr="00DC7D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C7D16">
        <w:rPr>
          <w:rFonts w:ascii="Times New Roman" w:hAnsi="Times New Roman" w:cs="Times New Roman"/>
          <w:sz w:val="24"/>
          <w:szCs w:val="24"/>
          <w:lang w:val="en-US"/>
        </w:rPr>
        <w:t>Radikevich</w:t>
      </w:r>
      <w:proofErr w:type="spellEnd"/>
      <w:r w:rsidRPr="00DC7D16">
        <w:rPr>
          <w:rFonts w:ascii="Times New Roman" w:hAnsi="Times New Roman" w:cs="Times New Roman"/>
          <w:sz w:val="24"/>
          <w:szCs w:val="24"/>
          <w:lang w:val="en-US"/>
        </w:rPr>
        <w:t xml:space="preserve"> Andrey </w:t>
      </w:r>
      <w:proofErr w:type="spellStart"/>
      <w:r w:rsidRPr="00DC7D16">
        <w:rPr>
          <w:rFonts w:ascii="Times New Roman" w:hAnsi="Times New Roman" w:cs="Times New Roman"/>
          <w:sz w:val="24"/>
          <w:szCs w:val="24"/>
          <w:lang w:val="en-US"/>
        </w:rPr>
        <w:t>Vitalievich</w:t>
      </w:r>
      <w:proofErr w:type="spellEnd"/>
      <w:r w:rsidRPr="00DC7D16">
        <w:rPr>
          <w:rFonts w:ascii="Times New Roman" w:hAnsi="Times New Roman" w:cs="Times New Roman"/>
          <w:sz w:val="24"/>
          <w:szCs w:val="24"/>
          <w:lang w:val="en-US"/>
        </w:rPr>
        <w:t xml:space="preserve"> (Russian Federation, Moscow) – postgraduate student of the Department of Economic and Social Geography of Russia, Faculty of Geography, Lomonosov Moscow State University, 119991, Russian Federation, Moscow, </w:t>
      </w:r>
      <w:proofErr w:type="spellStart"/>
      <w:r w:rsidRPr="00DC7D16">
        <w:rPr>
          <w:rFonts w:ascii="Times New Roman" w:hAnsi="Times New Roman" w:cs="Times New Roman"/>
          <w:sz w:val="24"/>
          <w:szCs w:val="24"/>
          <w:lang w:val="en-US"/>
        </w:rPr>
        <w:t>Leninskie</w:t>
      </w:r>
      <w:proofErr w:type="spellEnd"/>
      <w:r w:rsidRPr="00DC7D16">
        <w:rPr>
          <w:rFonts w:ascii="Times New Roman" w:hAnsi="Times New Roman" w:cs="Times New Roman"/>
          <w:sz w:val="24"/>
          <w:szCs w:val="24"/>
          <w:lang w:val="en-US"/>
        </w:rPr>
        <w:t xml:space="preserve"> Gory, 1, 21st floor, </w:t>
      </w:r>
      <w:hyperlink r:id="rId12" w:history="1">
        <w:r w:rsidR="003F7936" w:rsidRPr="003C69B0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radikevich1998@mail.ru</w:t>
        </w:r>
      </w:hyperlink>
    </w:p>
    <w:p w14:paraId="743484FA" w14:textId="02479B10" w:rsidR="003F7936" w:rsidRPr="003F7936" w:rsidRDefault="003F7936" w:rsidP="00DC7D16">
      <w:pPr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F793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Bibliography: </w:t>
      </w:r>
    </w:p>
    <w:p w14:paraId="1A8AABCE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Avdeenko V.N., Kotlov V.A.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Proizvodstvennyi potentsial promyshlennogo predpriyatiya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[Industrial Enterprise Production Potential].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Ekonomika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1989. 240 p.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54EDB35F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Avetov N.A. et al.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Natsional'nyi atlas pochv Rossiiskoi Federatsii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[National Soil Atlas of the Russian Federation].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Astrel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', 2011.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3E07282E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Andreev A.V.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Effektivnost' ispol'zovaniya proizvodstvennogo potentsiala pishchevoi promyshlennosti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[Efficiency of Production Potential Use in the Food Industry]. diss.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Rossiiskii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gosudarstvennyi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sotsial'nyi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universitet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2002.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339D34A5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lastRenderedPageBreak/>
        <w:t>Andreychuk V.G. “Obosnovanie pokazatelei obshchego effekta dlya otsenki ispol'zovaniya proizvodstvennogo potentsiala” [Indicators of General Effect for Assessing Production Potential Use]. 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Ekonomika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sel'skogo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khozyaistva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1984,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. 6,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43-50.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30F95FCE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Anchishkin A.I. “Nauchno-tekhnicheskii progress i intensifikatsiya proizvodstva” [Scientific-Technical Progress and Production Intensification].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Izvestiya Akademii nauk SSSR. Seriya ekonomicheskaya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>, 1981, No. 2, pp. 18-28. (In Russ.)</w:t>
      </w:r>
    </w:p>
    <w:p w14:paraId="69DD2EB6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Bakanov M.I., Mel'nik M.V., Sheremet A.D.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Teoriya ekonomicheskogo analiza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[Theory of Economic Analysis].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Finansy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statistika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2005.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6555E3E4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Bunina A.Yu. “Resursnyi potentsial v sovremennykh usloviyakh khozyaistvovaniya predpriyatii APK” [Resource Potential in Modern Agricultural Enterprises]. 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Vestnik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Voronezhskogo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gosudarstvennogo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universiteta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2009,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. 2,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76–84.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2B14919F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Vedenin Yu.A. et al.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Natsional'nyi atlas Rossii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[National Atlas of Russia].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Roskartografiya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2008.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4F235AE6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Galdanova E.V.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Formirovanie i ispol'zovanie prostranstvennogo potentsiala razvitiya sel'skogo khozyaistva regiona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> [Formation and Use of Spatial Potential for Regional Agricultural Development]. diss. Vost.-Sib. gos. un-t tekhnologii i upr., 2016. (In Russ.)</w:t>
      </w:r>
    </w:p>
    <w:p w14:paraId="1A63171A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Dokholyan S.V., Umavov Yu.D. “Resursnyi potentsial agrarnoi sfery regiona” [Resource Potential of the Regional Agricultural Sector]. 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Ekonomika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i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predprinimatel'stvo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2012,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. 1,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37-44.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667A0959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Zinchenko A.P. “Strukturnaya politika i ispol'zovanie proizvodstvennogo potentsiala sel'skogo khozyaistva” [Structural Policy and Agricultural Production Potential Use]. </w:t>
      </w:r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APK: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ekonomika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upravlenie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1996,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. 2,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15-18.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72C5916B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Kel'chevskaya N.R., Pelymskaya I.S., Andreeva E.V.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Razvitie resursnogo potentsiala regional'nogo agropromyshlennogo kompleksa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[Development of Resource Potential in Regional Agro-Industrial Complexes].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Kreativnaya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ekonomika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2021. 128 p.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206899E7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Klemychev P.A. “Voprosy otsenki i analiza tekhniko-ekonomicheskogo potentsiala sel'skogo khozyaistva” [Assessment and Analysis of Technical-Economic Potential in Agriculture].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Sbornik tekhniko-ekonomicheskii potentsial sel'skogo khozyaistva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, ed. Klemychev P.A. Moscow, RUVNIETUSKh, pp. 1-34. </w:t>
      </w:r>
      <w:r w:rsidRPr="003F793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67E4F946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Koshelev V.M. et al.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Otsenka eksportnogo potentsiala APK Rossii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> [Assessment of Agro-Industrial Complex Export Potential in Russia]. Moscow, RGAU-MSKhA imeni K.A. Timiryazeva, 2022. 199 p. (In Russ.)</w:t>
      </w:r>
    </w:p>
    <w:p w14:paraId="563BE1C6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Krastin' O.P.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Primenenie regressionnogo analiza v issledovaniyakh ekonomiki sel'skogo khozyaistva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[Application of Regression Analysis in Agricultural Economics].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Riga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Zinatne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1976. 250 p.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52513F9F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Kryuchkov V.G.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Problemy i metody sistemnogo ekonomichesko-geograficheskogo issledovaniya dlya prognozirovaniya effektivnoi territorial'noi organizatsii sel'skogo khozyaistva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[Issues and Methods of Systemic Economic-Geographic Research for Effective Agricultural Spatial Organization]. diss. dokt. geogr. nauk.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1978. 436 p.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120296AC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Panina E.B.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Osobennosti formirovaniya i ispol'zovaniya proizvodstvennogo potentsiala sel'skokhozyaistvennykh predpriyatii v rynochnykh usloviyakh khozyaistvovaniya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[Formation and Use of Agricultural Production Potential in Market Conditions]. diss.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Voronezhskii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gosudarstvennyi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agrarnyi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universitet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2007.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085B0B25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lastRenderedPageBreak/>
        <w:t>Popova A.L. “Teoreticheskie podkhody k ponyatiyu resursnogo potentsiala innovatsionnykh protsessov v APK” [Theoretical Approaches to Resource Potential in Agro-Industrial Innovations]. 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Mezhdunarodnyi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nauchnyi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zhurnal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«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Simvol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nauki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>»</w:t>
      </w:r>
      <w:r w:rsidRPr="003F7936">
        <w:rPr>
          <w:rFonts w:ascii="Times New Roman" w:hAnsi="Times New Roman" w:cs="Times New Roman"/>
          <w:sz w:val="24"/>
          <w:szCs w:val="24"/>
        </w:rPr>
        <w:t xml:space="preserve">, 2015,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. 8,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119–120.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27C748EF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Poshkus B.I. “Osobennosti agrarnoi reformy v Rossii” [Features of Agrarian Reform in Russia]. </w:t>
      </w:r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APK: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ekonomika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upravlenie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1996,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. 2,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3-5.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2345BF09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Prushchak O.V. “Metodicheskie podkhody k kompleksnoi otsenke resursnogo potentsiala APK regiona” [Methodological Approaches to Assessing Regional Agro-Industrial Resource Potential]. 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Promyshlennost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':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ekonomika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upravlenie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tekhnologii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2017,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. 5 (69),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110-115.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45BE7750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Rakitnikov A.N.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Geografiya sel'skogo khozyaistva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[Geography of Agriculture].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Mysl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', 1970.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36F416FF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Revutskii L.D.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Potentsial i stoimost' predpriyatiya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[Enterprise Potential and Value].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Moscow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Perspektiva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1997. 128 p.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4D2313CC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Svobodin V.A. “Voprosy opredeleniya i effektivnosti proizvodstvennogo potentsiala” [Issues in Defining and Assessing Production Potential Efficiency]. </w:t>
      </w:r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APK: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ekonomika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upravlenie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1991,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3, p. 27.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55BB46CF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Sergeev S.S. “Proizvodstvennye moshchnosti i proizvodstvennyi potentsial sel'skokhozyaistvennykh predpriyatii” [Production Capacity and Potential in Agricultural Enterprises]. 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Vestnik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sel'skokhozyaistvennoi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nauki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1985,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. 5,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14-19.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0C985AE7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Smagarinskii I.A.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Ekonomicheskaya otsenka prirodnykh resursov i ratsional'noe prirodopol'zovanie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[Economic Valuation of Natural Resources and Sustainable Use].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Voronezh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Izd-vo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Voronezhskogo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universiteta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1981. 109 p.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4BE41261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Filatova S.V. “Problemy formirovaniya resursnogo potentsiala predpriyatii APK” [Challenges in Formulating Agro-Industrial Resource Potential]. 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Zakonomernosti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razvitiya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regional'nykh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agroprodovol'stvennykh</w:t>
      </w:r>
      <w:proofErr w:type="spellEnd"/>
      <w:r w:rsidRPr="003F793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i/>
          <w:iCs/>
          <w:sz w:val="24"/>
          <w:szCs w:val="24"/>
        </w:rPr>
        <w:t>sistem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2016,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. 1,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 150–152.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07A1F180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Yuzefovich A.E. </w:t>
      </w:r>
      <w:r w:rsidRPr="003F7936">
        <w:rPr>
          <w:rFonts w:ascii="Times New Roman" w:hAnsi="Times New Roman" w:cs="Times New Roman"/>
          <w:i/>
          <w:iCs/>
          <w:sz w:val="24"/>
          <w:szCs w:val="24"/>
          <w:lang w:val="en-US"/>
        </w:rPr>
        <w:t>Agrarnyi resursnyi potentsial: formirovanie i ispol'zovanie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 [Agrarian Resource Potential: Formation and Use].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Kiev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Naukova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dumka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, 1987. 175 p. (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Russ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.)</w:t>
      </w:r>
    </w:p>
    <w:p w14:paraId="6ABA824E" w14:textId="77777777" w:rsidR="003F7936" w:rsidRPr="003F7936" w:rsidRDefault="003F7936" w:rsidP="003F7936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7936">
        <w:rPr>
          <w:rFonts w:ascii="Times New Roman" w:hAnsi="Times New Roman" w:cs="Times New Roman"/>
          <w:sz w:val="24"/>
          <w:szCs w:val="24"/>
          <w:lang w:val="en-US"/>
        </w:rPr>
        <w:t>Portal Federal'noi sluzhby gosudarstvennoi statistiki. URL: </w:t>
      </w:r>
      <w:r w:rsidRPr="003F7936">
        <w:rPr>
          <w:rFonts w:ascii="Times New Roman" w:hAnsi="Times New Roman" w:cs="Times New Roman"/>
          <w:sz w:val="24"/>
          <w:szCs w:val="24"/>
        </w:rPr>
        <w:fldChar w:fldCharType="begin"/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instrText xml:space="preserve"> HYPERLINK "https://rosstat.gov.ru/" \t "_blank" </w:instrText>
      </w:r>
      <w:r w:rsidRPr="003F7936">
        <w:rPr>
          <w:rFonts w:ascii="Times New Roman" w:hAnsi="Times New Roman" w:cs="Times New Roman"/>
          <w:sz w:val="24"/>
          <w:szCs w:val="24"/>
        </w:rPr>
        <w:fldChar w:fldCharType="separate"/>
      </w:r>
      <w:r w:rsidRPr="003F7936">
        <w:rPr>
          <w:rStyle w:val="a6"/>
          <w:rFonts w:ascii="Times New Roman" w:hAnsi="Times New Roman" w:cs="Times New Roman"/>
          <w:sz w:val="24"/>
          <w:szCs w:val="24"/>
          <w:lang w:val="en-US"/>
        </w:rPr>
        <w:t>https://rosstat.gov.ru/</w:t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Pr="003F793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3F7936">
        <w:rPr>
          <w:rFonts w:ascii="Times New Roman" w:hAnsi="Times New Roman" w:cs="Times New Roman"/>
          <w:sz w:val="24"/>
          <w:szCs w:val="24"/>
        </w:rPr>
        <w:t>Accessed</w:t>
      </w:r>
      <w:proofErr w:type="spellEnd"/>
      <w:r w:rsidRPr="003F7936">
        <w:rPr>
          <w:rFonts w:ascii="Times New Roman" w:hAnsi="Times New Roman" w:cs="Times New Roman"/>
          <w:sz w:val="24"/>
          <w:szCs w:val="24"/>
        </w:rPr>
        <w:t>: 12.04.2025.</w:t>
      </w:r>
    </w:p>
    <w:p w14:paraId="000194B1" w14:textId="77777777" w:rsidR="003F7936" w:rsidRDefault="003F7936" w:rsidP="00DC7D16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4" w:name="_GoBack"/>
      <w:bookmarkEnd w:id="4"/>
    </w:p>
    <w:p w14:paraId="5353A847" w14:textId="73F41BE9" w:rsidR="00E92BB4" w:rsidRPr="00DC7D16" w:rsidRDefault="00E92BB4" w:rsidP="00E92BB4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E92BB4" w:rsidRPr="00DC7D16" w:rsidSect="006A42A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794012"/>
    <w:multiLevelType w:val="multilevel"/>
    <w:tmpl w:val="8B62C8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9CA3F45"/>
    <w:multiLevelType w:val="hybridMultilevel"/>
    <w:tmpl w:val="0D60896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6CBF1A4A"/>
    <w:multiLevelType w:val="hybridMultilevel"/>
    <w:tmpl w:val="68CCD81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BB5"/>
    <w:rsid w:val="00045086"/>
    <w:rsid w:val="000B23B8"/>
    <w:rsid w:val="001E3998"/>
    <w:rsid w:val="0028248B"/>
    <w:rsid w:val="00305F19"/>
    <w:rsid w:val="003F0A36"/>
    <w:rsid w:val="003F7936"/>
    <w:rsid w:val="004831E2"/>
    <w:rsid w:val="00650FBB"/>
    <w:rsid w:val="006A42A8"/>
    <w:rsid w:val="00707411"/>
    <w:rsid w:val="007E6BB5"/>
    <w:rsid w:val="00AA5B53"/>
    <w:rsid w:val="00AE26F9"/>
    <w:rsid w:val="00AE4FB4"/>
    <w:rsid w:val="00C327DD"/>
    <w:rsid w:val="00CE52F8"/>
    <w:rsid w:val="00D55A7A"/>
    <w:rsid w:val="00DC7D16"/>
    <w:rsid w:val="00E92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3E279"/>
  <w15:chartTrackingRefBased/>
  <w15:docId w15:val="{68C909A4-4E1E-4D66-B225-0EBB289D3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52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E52F8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AE26F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92BB4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E92B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5024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mailto:radikevich1998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radikevich1998@mail.ru" TargetMode="External"/><Relationship Id="rId5" Type="http://schemas.openxmlformats.org/officeDocument/2006/relationships/webSettings" Target="webSettings.xml"/><Relationship Id="rId10" Type="http://schemas.microsoft.com/office/2007/relationships/hdphoto" Target="media/hdphoto2.wdp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1098F-376F-42AE-B64D-432CB838A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9</Pages>
  <Words>2824</Words>
  <Characters>16100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 Радикевич</dc:creator>
  <cp:keywords/>
  <dc:description/>
  <cp:lastModifiedBy>Андрей Радикевич</cp:lastModifiedBy>
  <cp:revision>16</cp:revision>
  <dcterms:created xsi:type="dcterms:W3CDTF">2025-05-03T10:14:00Z</dcterms:created>
  <dcterms:modified xsi:type="dcterms:W3CDTF">2025-05-03T11:19:00Z</dcterms:modified>
</cp:coreProperties>
</file>