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ADF" w:rsidRPr="00245B0F" w:rsidRDefault="00EB2ADF" w:rsidP="00EB2ADF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>УДК: 336.713, 336.717</w:t>
      </w:r>
    </w:p>
    <w:p w:rsidR="00EB2ADF" w:rsidRDefault="00EB2ADF" w:rsidP="00EB2ADF">
      <w:pPr>
        <w:spacing w:line="24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  <w:lang w:val="hy-AM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>ББК: У262.51, У262.52</w:t>
      </w:r>
    </w:p>
    <w:p w:rsidR="004A24C6" w:rsidRPr="007641B3" w:rsidRDefault="007641B3" w:rsidP="004A24C6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hy-AM"/>
        </w:rPr>
        <w:t>Арутюнян Г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hy-AM"/>
        </w:rPr>
        <w:t>Ю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4A24C6" w:rsidRPr="004A24C6" w:rsidRDefault="007641B3" w:rsidP="004A24C6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hy-AM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Атанян А. А.</w:t>
      </w:r>
      <w:r w:rsidR="004A24C6" w:rsidRPr="008671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EB2ADF" w:rsidRPr="00EB2ADF" w:rsidRDefault="00EB2ADF" w:rsidP="00EB2ADF">
      <w:pPr>
        <w:spacing w:line="24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  <w:lang w:val="hy-AM"/>
        </w:rPr>
      </w:pPr>
    </w:p>
    <w:p w:rsidR="00EB2ADF" w:rsidRDefault="00EB2ADF" w:rsidP="00EB2ADF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РАСЧЕТ Э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>ФФЕКТИВНОСТ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И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ДЕЯТЕЛЬНОСТИ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БАНКОВ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РЕСПУБЛИКИ АРМЕНИЯ ПРИ ПОМОЩИ ПОКАЗАТЕЛЯ</w:t>
      </w:r>
      <w:r w:rsidRPr="005C3F4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ЭКОНОМИЧЕСКОЙ ДОБАВЛЕННОЙ СТОИМОСТИ-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 xml:space="preserve">EVA 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>(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НА ПРИМЕРЕ ЗАО </w:t>
      </w:r>
      <w:r w:rsidRPr="00620F70">
        <w:rPr>
          <w:rFonts w:ascii="Times New Roman" w:hAnsi="Times New Roman" w:cs="Times New Roman"/>
          <w:b/>
          <w:sz w:val="24"/>
          <w:szCs w:val="24"/>
          <w:lang w:val="hy-AM"/>
        </w:rPr>
        <w:t>“АМЕРИАБАНК”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>)</w:t>
      </w:r>
    </w:p>
    <w:p w:rsidR="00EB2ADF" w:rsidRDefault="00EB2ADF" w:rsidP="00EB2ADF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</w:p>
    <w:p w:rsidR="004A24C6" w:rsidRDefault="004A24C6" w:rsidP="004A24C6">
      <w:pPr>
        <w:spacing w:line="24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>Аннотация</w:t>
      </w:r>
    </w:p>
    <w:p w:rsidR="004A24C6" w:rsidRPr="004A24C6" w:rsidRDefault="004A24C6" w:rsidP="004A24C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hy-AM"/>
        </w:rPr>
      </w:pP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Оценка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эффективности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банка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осуществляется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A5BC3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при</w:t>
      </w:r>
      <w:r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 помо</w:t>
      </w:r>
      <w:r w:rsidRPr="006A5BC3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щи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 многих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классических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показателей. Однако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A5BC3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они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не дают представления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о возможности банка создавать добавленную стоимость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Последний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можно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оценить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с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помощью показателя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EVA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. Нами был рассчитан показатель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EVA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на примере конкретного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банка. Для этого были оценены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ROE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ROA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NIM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Spread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N</w:t>
      </w:r>
      <w:r w:rsidRPr="00AF2452">
        <w:rPr>
          <w:rStyle w:val="anegp0gi0b9av8jahpyh"/>
          <w:rFonts w:ascii="Times New Roman" w:hAnsi="Times New Roman" w:cs="Times New Roman"/>
          <w:sz w:val="24"/>
          <w:szCs w:val="24"/>
        </w:rPr>
        <w:t>OPAT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WACC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</w:rPr>
        <w:t>CAPM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 и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ряд других</w:t>
      </w:r>
      <w:r w:rsidRPr="003936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9366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показателей.</w:t>
      </w:r>
    </w:p>
    <w:p w:rsidR="004A24C6" w:rsidRDefault="004A24C6" w:rsidP="004A24C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Ключевые слова: </w:t>
      </w:r>
      <w:r w:rsidRPr="00245B0F">
        <w:rPr>
          <w:rFonts w:ascii="Times New Roman" w:hAnsi="Times New Roman" w:cs="Times New Roman"/>
          <w:sz w:val="24"/>
          <w:szCs w:val="24"/>
          <w:lang w:val="ru-RU"/>
        </w:rPr>
        <w:t>Эффективность банков, Экономическая добавленная стоимость (</w:t>
      </w:r>
      <w:r w:rsidRPr="00245B0F">
        <w:rPr>
          <w:rFonts w:ascii="Times New Roman" w:hAnsi="Times New Roman" w:cs="Times New Roman"/>
          <w:sz w:val="24"/>
          <w:szCs w:val="24"/>
        </w:rPr>
        <w:t>EVA</w:t>
      </w:r>
      <w:r w:rsidRPr="00245B0F">
        <w:rPr>
          <w:rFonts w:ascii="Times New Roman" w:hAnsi="Times New Roman" w:cs="Times New Roman"/>
          <w:sz w:val="24"/>
          <w:szCs w:val="24"/>
          <w:lang w:val="ru-RU"/>
        </w:rPr>
        <w:t>), Средневзвешенная стоимость капитала</w:t>
      </w:r>
      <w:r w:rsidRPr="00245B0F">
        <w:rPr>
          <w:rFonts w:ascii="Times New Roman" w:hAnsi="Times New Roman" w:cs="Times New Roman"/>
          <w:sz w:val="24"/>
          <w:szCs w:val="24"/>
          <w:lang w:val="hy-AM"/>
        </w:rPr>
        <w:t xml:space="preserve"> (</w:t>
      </w:r>
      <w:r w:rsidRPr="00245B0F">
        <w:rPr>
          <w:rFonts w:ascii="Times New Roman" w:hAnsi="Times New Roman" w:cs="Times New Roman"/>
          <w:sz w:val="24"/>
          <w:szCs w:val="24"/>
        </w:rPr>
        <w:t>WACC</w:t>
      </w:r>
      <w:r w:rsidRPr="00245B0F">
        <w:rPr>
          <w:rFonts w:ascii="Times New Roman" w:hAnsi="Times New Roman" w:cs="Times New Roman"/>
          <w:sz w:val="24"/>
          <w:szCs w:val="24"/>
          <w:lang w:val="hy-AM"/>
        </w:rPr>
        <w:t xml:space="preserve">),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Оценка капитальных активов </w:t>
      </w:r>
      <w:r w:rsidRPr="00E91CC9">
        <w:rPr>
          <w:rFonts w:ascii="Times New Roman" w:hAnsi="Times New Roman" w:cs="Times New Roman"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sz w:val="24"/>
          <w:szCs w:val="24"/>
        </w:rPr>
        <w:t>CAPM</w:t>
      </w:r>
      <w:r w:rsidRPr="00E91CC9">
        <w:rPr>
          <w:rFonts w:ascii="Times New Roman" w:hAnsi="Times New Roman" w:cs="Times New Roman"/>
          <w:sz w:val="24"/>
          <w:szCs w:val="24"/>
          <w:lang w:val="ru-RU"/>
        </w:rPr>
        <w:t xml:space="preserve">), </w:t>
      </w:r>
      <w:r w:rsidRPr="00245B0F">
        <w:rPr>
          <w:rFonts w:ascii="Times New Roman" w:hAnsi="Times New Roman" w:cs="Times New Roman"/>
          <w:sz w:val="24"/>
          <w:szCs w:val="24"/>
          <w:lang w:val="hy-AM"/>
        </w:rPr>
        <w:t xml:space="preserve">Стоимость </w:t>
      </w:r>
      <w:r w:rsidRPr="00245B0F">
        <w:rPr>
          <w:rFonts w:ascii="Times New Roman" w:hAnsi="Times New Roman" w:cs="Times New Roman"/>
          <w:sz w:val="24"/>
          <w:szCs w:val="24"/>
          <w:lang w:val="ru-RU"/>
        </w:rPr>
        <w:t xml:space="preserve">инвестиционного </w:t>
      </w:r>
      <w:r w:rsidRPr="00245B0F">
        <w:rPr>
          <w:rFonts w:ascii="Times New Roman" w:hAnsi="Times New Roman" w:cs="Times New Roman"/>
          <w:sz w:val="24"/>
          <w:szCs w:val="24"/>
          <w:lang w:val="hy-AM"/>
        </w:rPr>
        <w:t>капитала</w:t>
      </w:r>
      <w:r w:rsidRPr="00245B0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245B0F">
        <w:rPr>
          <w:rFonts w:ascii="Times New Roman" w:hAnsi="Times New Roman" w:cs="Times New Roman"/>
          <w:sz w:val="24"/>
          <w:szCs w:val="24"/>
          <w:lang w:val="hy-AM"/>
        </w:rPr>
        <w:t>Стоимость</w:t>
      </w:r>
      <w:r w:rsidRPr="00245B0F">
        <w:rPr>
          <w:rFonts w:ascii="Times New Roman" w:hAnsi="Times New Roman" w:cs="Times New Roman"/>
          <w:sz w:val="24"/>
          <w:szCs w:val="24"/>
          <w:lang w:val="ru-RU"/>
        </w:rPr>
        <w:t xml:space="preserve"> долга</w:t>
      </w:r>
    </w:p>
    <w:p w:rsidR="005F3E6B" w:rsidRPr="007641B3" w:rsidRDefault="005F3E6B" w:rsidP="007641B3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D75A2" w:rsidRPr="00245B0F" w:rsidRDefault="00C359A9" w:rsidP="00D979B0">
      <w:pPr>
        <w:spacing w:line="240" w:lineRule="auto"/>
        <w:ind w:firstLine="709"/>
        <w:contextualSpacing/>
        <w:jc w:val="both"/>
        <w:rPr>
          <w:rStyle w:val="anegp0gi0b9av8jahpyh"/>
          <w:rFonts w:ascii="Times New Roman" w:hAnsi="Times New Roman" w:cs="Times New Roman"/>
          <w:sz w:val="24"/>
          <w:lang w:val="hy-AM"/>
        </w:rPr>
      </w:pP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В экономической литературе упоминается, что EVA </w:t>
      </w:r>
      <w:r w:rsidR="00942268" w:rsidRPr="00245B0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(</w:t>
      </w:r>
      <w:r w:rsidR="00A16FA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Economic Value Added или </w:t>
      </w:r>
      <w:r w:rsidR="00942268" w:rsidRPr="00245B0F">
        <w:rPr>
          <w:rFonts w:ascii="Times New Roman" w:hAnsi="Times New Roman" w:cs="Times New Roman"/>
          <w:sz w:val="24"/>
          <w:szCs w:val="24"/>
          <w:lang w:val="ru-RU"/>
        </w:rPr>
        <w:t>Экономическая добавленная стоимость</w:t>
      </w:r>
      <w:r w:rsidR="00942268" w:rsidRPr="00245B0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является одним из лучших методов измерения реальной экономической прибыли компании </w:t>
      </w:r>
      <w:r w:rsidR="007B6083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[6, с. 98]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.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Этот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показатель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используется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для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выбора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состава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портфеля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и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оценки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эффективности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банков.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Ряд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исследователей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отмечают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,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что,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в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отличие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от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традиционных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показателей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прибыльности,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таких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как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EBIT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и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EBITDA,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EVA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может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измерять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чистую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прибыль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и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наилучшим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образом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выражать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максимальную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прибыльность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акционеров</w:t>
      </w:r>
      <w:r w:rsidRPr="00245B0F">
        <w:rPr>
          <w:rStyle w:val="anegp0gi0b9av8jahpyh"/>
          <w:rFonts w:ascii="Times New Roman" w:hAnsi="Times New Roman" w:cs="Times New Roman"/>
          <w:lang w:val="ru-RU"/>
        </w:rPr>
        <w:t xml:space="preserve"> </w:t>
      </w:r>
      <w:r w:rsidR="0035171A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[2, с. 1]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. Существует также мнение, что EVA является одним из показателей измерения эффективности, оценки стоимости компании и удобным инструментом для принятия управленческих решений финансовым учреждением </w:t>
      </w:r>
      <w:r w:rsidR="0035171A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[1, с. 51]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. Обзор литературы показывает, что EVA также является </w:t>
      </w:r>
      <w:r w:rsidR="00B00DD5">
        <w:rPr>
          <w:rStyle w:val="anegp0gi0b9av8jahpyh"/>
          <w:rFonts w:ascii="Times New Roman" w:hAnsi="Times New Roman" w:cs="Times New Roman"/>
          <w:sz w:val="24"/>
          <w:lang w:val="ru-RU"/>
        </w:rPr>
        <w:t>финансовы</w:t>
      </w:r>
      <w:r w:rsidR="00B00DD5">
        <w:rPr>
          <w:rStyle w:val="anegp0gi0b9av8jahpyh"/>
          <w:rFonts w:ascii="Times New Roman" w:hAnsi="Times New Roman" w:cs="Times New Roman"/>
          <w:sz w:val="24"/>
          <w:lang w:val="hy-AM"/>
        </w:rPr>
        <w:t>м</w:t>
      </w:r>
      <w:r w:rsidR="00B00DD5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показателе</w:t>
      </w:r>
      <w:r w:rsidR="00B00DD5">
        <w:rPr>
          <w:rStyle w:val="anegp0gi0b9av8jahpyh"/>
          <w:rFonts w:ascii="Times New Roman" w:hAnsi="Times New Roman" w:cs="Times New Roman"/>
          <w:sz w:val="24"/>
          <w:lang w:val="hy-AM"/>
        </w:rPr>
        <w:t>м эффективности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компании. Она связана с эффективностью и конкурентоспособностью, и именно эта связь в настоящее время находится в центре особого внимания инвесторов</w:t>
      </w:r>
      <w:r w:rsidR="009405D2" w:rsidRPr="00245B0F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. Если EVA компании отрицательная, это означает, что компания не создает дополнительной ценности за счет средств, вложенных в бизнес. И наоборот, положительная EVA показывает, что компания генерирует ценность за счет средств, вложенных в нее </w:t>
      </w:r>
      <w:r w:rsidR="0035171A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</w:t>
      </w:r>
      <w:r w:rsidR="00461B9E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5</w:t>
      </w:r>
      <w:r w:rsidR="0035171A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с. </w:t>
      </w:r>
      <w:r w:rsidR="00461B9E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60</w:t>
      </w:r>
      <w:r w:rsidR="0035171A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]</w:t>
      </w:r>
      <w:r w:rsidR="009405D2" w:rsidRPr="00245B0F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. EVA постепенно начинает рассматриваться как финансовый критерий оценки банковской деятельности </w:t>
      </w:r>
      <w:r w:rsidR="00755969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[7, с. 1640]</w:t>
      </w:r>
      <w:r w:rsidR="009405D2"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.</w:t>
      </w:r>
    </w:p>
    <w:p w:rsidR="00550184" w:rsidRPr="00245B0F" w:rsidRDefault="00550184" w:rsidP="00D979B0">
      <w:pPr>
        <w:spacing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hy-AM"/>
        </w:rPr>
      </w:pP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EVA рассчитывается по следующей формуле </w:t>
      </w:r>
      <w:r w:rsidR="00755969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</w:t>
      </w:r>
      <w:r w:rsidR="00357072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8</w:t>
      </w:r>
      <w:r w:rsidR="00755969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, с. 1]</w:t>
      </w:r>
      <w:r w:rsidR="006D154F"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: </w:t>
      </w:r>
      <m:oMath>
        <m:r>
          <m:rPr>
            <m:sty m:val="bi"/>
          </m:rPr>
          <w:rPr>
            <w:rFonts w:ascii="Cambria Math" w:hAnsi="Cambria Math" w:cs="Times New Roman"/>
            <w:sz w:val="24"/>
            <w:szCs w:val="24"/>
            <w:lang w:val="hy-AM"/>
          </w:rPr>
          <m:t>EVA=NOPAT-WACC*</m:t>
        </m:r>
        <m:sSub>
          <m:sSub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C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e</m:t>
            </m:r>
          </m:sub>
        </m:sSub>
      </m:oMath>
      <w:r w:rsidR="00923407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, г</w:t>
      </w:r>
      <w:r w:rsidR="00923407"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де: </w:t>
      </w: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>EVA - Эконо</w:t>
      </w:r>
      <w:r w:rsidR="00923407"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мическая добавленная стоимость, </w:t>
      </w: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NOPAT - </w:t>
      </w:r>
      <w:r w:rsidR="006D154F" w:rsidRPr="00245B0F">
        <w:rPr>
          <w:rFonts w:ascii="Times New Roman" w:hAnsi="Times New Roman" w:cs="Times New Roman"/>
          <w:sz w:val="24"/>
          <w:szCs w:val="24"/>
          <w:lang w:val="ru-RU"/>
        </w:rPr>
        <w:t>Посленалоговая операционная прибыль</w:t>
      </w:r>
      <w:r w:rsidR="00923407"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, </w:t>
      </w: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>WACC - Средн</w:t>
      </w:r>
      <w:r w:rsidR="00923407"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евзвешенная стоимость капитала, </w:t>
      </w: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>C</w:t>
      </w:r>
      <w:r w:rsidRPr="00245B0F">
        <w:rPr>
          <w:rStyle w:val="anegp0gi0b9av8jahpyh"/>
          <w:rFonts w:ascii="Times New Roman" w:hAnsi="Times New Roman" w:cs="Times New Roman"/>
          <w:sz w:val="24"/>
          <w:szCs w:val="24"/>
          <w:vertAlign w:val="subscript"/>
          <w:lang w:val="hy-AM"/>
        </w:rPr>
        <w:t>e</w:t>
      </w:r>
      <w:r w:rsidRPr="00245B0F"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 xml:space="preserve"> - Привлеченный капитал</w:t>
      </w:r>
      <w:r w:rsidR="001D667A" w:rsidRPr="00245B0F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. NOPAT и WACC рассчитываются следующим образом:</w:t>
      </w:r>
      <m:oMath>
        <m:r>
          <m:rPr>
            <m:sty m:val="bi"/>
          </m:rPr>
          <w:rPr>
            <w:rFonts w:ascii="Cambria Math" w:hAnsi="Cambria Math" w:cs="Times New Roman"/>
            <w:sz w:val="24"/>
            <w:szCs w:val="24"/>
            <w:lang w:val="ru-RU"/>
          </w:rPr>
          <m:t xml:space="preserve"> </m:t>
        </m:r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>NOPAT</m:t>
        </m:r>
        <m:r>
          <m:rPr>
            <m:sty m:val="bi"/>
          </m:rPr>
          <w:rPr>
            <w:rFonts w:ascii="Cambria Math" w:hAnsi="Cambria Math" w:cs="Times New Roman"/>
            <w:sz w:val="24"/>
            <w:szCs w:val="24"/>
            <w:lang w:val="ru-RU"/>
          </w:rPr>
          <m:t>=</m:t>
        </m:r>
        <m:r>
          <m:rPr>
            <m:sty m:val="bi"/>
          </m:rPr>
          <w:rPr>
            <w:rFonts w:ascii="Cambria Math" w:hAnsi="Cambria Math" w:cs="Times New Roman"/>
            <w:sz w:val="24"/>
            <w:szCs w:val="24"/>
            <w:lang w:val="hy-AM"/>
          </w:rPr>
          <m:t>Operating profit (OP)-taxes</m:t>
        </m:r>
      </m:oMath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,</w:t>
      </w:r>
      <w:r w:rsidR="00BC2357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</w:t>
      </w:r>
      <w:r w:rsidR="00BC2357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Где:</w:t>
      </w:r>
      <w:r w:rsidR="00BC2357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</w:t>
      </w:r>
      <w:r w:rsidR="00BC2357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OP - </w:t>
      </w:r>
      <w:r w:rsidR="00BC2357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Операционная прибыль, </w:t>
      </w:r>
      <w:r w:rsidR="00BC2357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Taxes - </w:t>
      </w:r>
      <w:r w:rsidR="00BC2357">
        <w:rPr>
          <w:rFonts w:ascii="Times New Roman" w:eastAsiaTheme="minorEastAsia" w:hAnsi="Times New Roman" w:cs="Times New Roman"/>
          <w:sz w:val="24"/>
          <w:szCs w:val="24"/>
          <w:lang w:val="hy-AM"/>
        </w:rPr>
        <w:t>налог на прибыль.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</w:t>
      </w:r>
      <m:oMath>
        <m:r>
          <m:rPr>
            <m:sty m:val="bi"/>
          </m:rPr>
          <w:rPr>
            <w:rFonts w:ascii="Cambria Math" w:hAnsi="Cambria Math" w:cs="Times New Roman"/>
            <w:sz w:val="24"/>
            <w:szCs w:val="24"/>
            <w:lang w:val="hy-AM"/>
          </w:rPr>
          <m:t>WACC=</m:t>
        </m:r>
        <m:sSub>
          <m:sSub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e</m:t>
            </m:r>
          </m:sub>
        </m:sSub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E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V</m:t>
            </m:r>
          </m:den>
        </m:f>
        <m:r>
          <m:rPr>
            <m:sty m:val="bi"/>
          </m:rPr>
          <w:rPr>
            <w:rFonts w:ascii="Cambria Math" w:hAnsi="Cambria Math" w:cs="Times New Roman"/>
            <w:sz w:val="24"/>
            <w:szCs w:val="24"/>
            <w:lang w:val="hy-AM"/>
          </w:rPr>
          <m:t>+</m:t>
        </m:r>
        <m:sSub>
          <m:sSub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d</m:t>
            </m:r>
          </m:sub>
        </m:sSub>
        <m:d>
          <m:dPr>
            <m:ctrlPr>
              <w:rPr>
                <w:rFonts w:ascii="Cambria Math" w:hAnsi="Cambria Math" w:cs="Times New Roman"/>
                <w:b/>
                <w:i/>
                <w:sz w:val="24"/>
                <w:szCs w:val="24"/>
                <w:lang w:val="hy-AM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1-t</m:t>
            </m:r>
          </m:e>
        </m:d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D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  <w:lang w:val="hy-AM"/>
              </w:rPr>
              <m:t>V</m:t>
            </m:r>
          </m:den>
        </m:f>
        <m:r>
          <m:rPr>
            <m:sty m:val="bi"/>
          </m:rPr>
          <w:rPr>
            <w:rFonts w:ascii="Cambria Math" w:hAnsi="Cambria Math" w:cs="Times New Roman"/>
            <w:sz w:val="24"/>
            <w:szCs w:val="24"/>
            <w:lang w:val="hy-AM"/>
          </w:rPr>
          <m:t xml:space="preserve">  </m:t>
        </m:r>
      </m:oMath>
      <w:r w:rsidR="001B5833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. 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Где: R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vertAlign w:val="subscript"/>
          <w:lang w:val="ru-RU"/>
        </w:rPr>
        <w:t>e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-ожидаемая рентабельность капитала, R</w:t>
      </w:r>
      <w:r w:rsidR="00F71EC1" w:rsidRPr="007165D7">
        <w:rPr>
          <w:rFonts w:ascii="Times New Roman" w:eastAsiaTheme="minorEastAsia" w:hAnsi="Times New Roman" w:cs="Times New Roman"/>
          <w:sz w:val="24"/>
          <w:szCs w:val="24"/>
          <w:vertAlign w:val="subscript"/>
          <w:lang w:val="ru-RU"/>
        </w:rPr>
        <w:t>d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-ожидаемая стоимость заемного капитала, E/V- доля собственного капитала в общем капитале, D/V-доля заемного капитала в общем капитале, t-ставка налога на прибыль.  R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vertAlign w:val="subscript"/>
          <w:lang w:val="ru-RU"/>
        </w:rPr>
        <w:t>e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- </w:t>
      </w:r>
      <w:r w:rsidR="00200224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CAPM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, а R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vertAlign w:val="subscript"/>
          <w:lang w:val="ru-RU"/>
        </w:rPr>
        <w:t>d</w:t>
      </w:r>
      <w:r w:rsidR="00F71EC1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- средние эффективные процентные ставки по </w:t>
      </w:r>
      <w:r w:rsidR="001F13C3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обязательствам.</w:t>
      </w:r>
      <w:r w:rsidR="00D507B5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         </w:t>
      </w:r>
      <w:r w:rsidR="001F13C3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4"/>
            <w:szCs w:val="24"/>
            <w:lang w:val="hy-AM"/>
          </w:rPr>
          <m:t xml:space="preserve">CAPM= </m:t>
        </m:r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  <w:lang w:val="hy-AM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  <w:lang w:val="hy-AM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  <w:lang w:val="hy-AM"/>
              </w:rPr>
              <m:t>f</m:t>
            </m:r>
          </m:sub>
        </m:sSub>
        <m:r>
          <m:rPr>
            <m:sty m:val="bi"/>
          </m:rPr>
          <w:rPr>
            <w:rFonts w:ascii="Cambria Math" w:eastAsiaTheme="minorEastAsia" w:hAnsi="Cambria Math" w:cs="Times New Roman"/>
            <w:sz w:val="24"/>
            <w:szCs w:val="24"/>
            <w:lang w:val="hy-AM"/>
          </w:rPr>
          <m:t>+β(</m:t>
        </m:r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  <w:lang w:val="hy-AM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  <w:lang w:val="hy-AM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  <w:lang w:val="hy-AM"/>
              </w:rPr>
              <m:t>m</m:t>
            </m:r>
          </m:sub>
        </m:sSub>
        <m:r>
          <m:rPr>
            <m:sty m:val="bi"/>
          </m:rPr>
          <w:rPr>
            <w:rFonts w:ascii="Cambria Math" w:eastAsiaTheme="minorEastAsia" w:hAnsi="Cambria Math" w:cs="Times New Roman"/>
            <w:sz w:val="24"/>
            <w:szCs w:val="24"/>
            <w:lang w:val="hy-AM"/>
          </w:rPr>
          <m:t>-</m:t>
        </m:r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4"/>
                <w:szCs w:val="24"/>
                <w:lang w:val="hy-AM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  <w:lang w:val="hy-AM"/>
              </w:rPr>
              <m:t>R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4"/>
                <w:szCs w:val="24"/>
                <w:lang w:val="hy-AM"/>
              </w:rPr>
              <m:t>f</m:t>
            </m:r>
          </m:sub>
        </m:sSub>
        <m:r>
          <m:rPr>
            <m:sty m:val="bi"/>
          </m:rPr>
          <w:rPr>
            <w:rFonts w:ascii="Cambria Math" w:eastAsiaTheme="minorEastAsia" w:hAnsi="Cambria Math" w:cs="Times New Roman"/>
            <w:sz w:val="24"/>
            <w:szCs w:val="24"/>
            <w:lang w:val="hy-AM"/>
          </w:rPr>
          <m:t>)</m:t>
        </m:r>
      </m:oMath>
      <w:r w:rsidR="007A3E69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, где: CAPM-модель оценки капитальных активов, R</w:t>
      </w:r>
      <w:r w:rsidR="007A3E69" w:rsidRPr="00245B0F">
        <w:rPr>
          <w:rFonts w:ascii="Times New Roman" w:eastAsiaTheme="minorEastAsia" w:hAnsi="Times New Roman" w:cs="Times New Roman"/>
          <w:sz w:val="24"/>
          <w:szCs w:val="24"/>
          <w:vertAlign w:val="subscript"/>
          <w:lang w:val="hy-AM"/>
        </w:rPr>
        <w:t>f</w:t>
      </w:r>
      <w:r w:rsidR="00755531">
        <w:rPr>
          <w:rFonts w:ascii="Times New Roman" w:eastAsiaTheme="minorEastAsia" w:hAnsi="Times New Roman" w:cs="Times New Roman"/>
          <w:sz w:val="24"/>
          <w:szCs w:val="24"/>
          <w:vertAlign w:val="subscript"/>
          <w:lang w:val="hy-AM"/>
        </w:rPr>
        <w:t xml:space="preserve"> </w:t>
      </w:r>
      <w:r w:rsidR="007A3E69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- безрисковая ставка,  R</w:t>
      </w:r>
      <w:r w:rsidR="007A3E69" w:rsidRPr="00245B0F">
        <w:rPr>
          <w:rFonts w:ascii="Times New Roman" w:eastAsiaTheme="minorEastAsia" w:hAnsi="Times New Roman" w:cs="Times New Roman"/>
          <w:sz w:val="24"/>
          <w:szCs w:val="24"/>
          <w:vertAlign w:val="subscript"/>
          <w:lang w:val="hy-AM"/>
        </w:rPr>
        <w:t>m</w:t>
      </w:r>
      <w:r w:rsidR="00755531">
        <w:rPr>
          <w:rFonts w:ascii="Times New Roman" w:eastAsiaTheme="minorEastAsia" w:hAnsi="Times New Roman" w:cs="Times New Roman"/>
          <w:sz w:val="24"/>
          <w:szCs w:val="24"/>
          <w:vertAlign w:val="subscript"/>
          <w:lang w:val="hy-AM"/>
        </w:rPr>
        <w:t xml:space="preserve"> </w:t>
      </w:r>
      <w:r w:rsidR="007A3E69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- рыночная ставка, β</w:t>
      </w:r>
      <w:r w:rsidR="00755531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</w:t>
      </w:r>
      <w:r w:rsidR="007A3E69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- </w:t>
      </w:r>
      <w:r w:rsidR="00B232CA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соотношени</w:t>
      </w:r>
      <w:r w:rsidR="00755531">
        <w:rPr>
          <w:rFonts w:ascii="Times New Roman" w:eastAsiaTheme="minorEastAsia" w:hAnsi="Times New Roman" w:cs="Times New Roman"/>
          <w:sz w:val="24"/>
          <w:szCs w:val="24"/>
          <w:lang w:val="hy-AM"/>
        </w:rPr>
        <w:t>e</w:t>
      </w:r>
      <w:r w:rsidR="00B232CA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доходности портфеля  к доходности рынка</w:t>
      </w:r>
      <w:r w:rsidR="00D05321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</w:t>
      </w:r>
      <w:r w:rsidR="00D05321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[4, с. 38]</w:t>
      </w:r>
      <w:r w:rsidR="008D0296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.</w:t>
      </w:r>
      <w:r w:rsidR="007165D7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</w:t>
      </w:r>
    </w:p>
    <w:p w:rsidR="00691455" w:rsidRPr="00245B0F" w:rsidRDefault="00541657" w:rsidP="00D979B0">
      <w:pPr>
        <w:spacing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hy-AM"/>
        </w:rPr>
      </w:pPr>
      <w:r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Очень часто 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показатели, характеризующие эффективность инвестиций, могут показывать, что банк работает достаточно прибыльно, однако EVA не только отражает эффективность, но и позволяет охарактеризовать реальную прибыльность банка. Рассчитаем 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lastRenderedPageBreak/>
        <w:t>EVA на примере конкрет</w:t>
      </w:r>
      <w:r w:rsidR="00786432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ного банка. Для этого нами 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изучены показатели </w:t>
      </w:r>
      <w:r w:rsidR="008525D3" w:rsidRPr="008525D3">
        <w:rPr>
          <w:rFonts w:ascii="Times New Roman" w:eastAsiaTheme="minorEastAsia" w:hAnsi="Times New Roman" w:cs="Times New Roman"/>
          <w:sz w:val="24"/>
          <w:szCs w:val="24"/>
          <w:lang w:val="hy-AM"/>
        </w:rPr>
        <w:t>ЗАО “Америабанк”</w:t>
      </w:r>
      <w:r w:rsidR="00506AC6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.</w:t>
      </w:r>
      <w:r w:rsidR="00A832CB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Все графики построены авторами по данным отчетов банка.</w:t>
      </w:r>
      <w:r w:rsidR="00506AC6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Америабанк в 2024 году зан</w:t>
      </w:r>
      <w:r w:rsidR="00506AC6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ял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второе место среди 18 коммерческих банков Арм</w:t>
      </w:r>
      <w:r w:rsidR="008525D3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ении, уступая </w:t>
      </w:r>
      <w:r w:rsidR="008525D3" w:rsidRPr="00232F80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ЗАО </w:t>
      </w:r>
      <w:r w:rsidR="00232F80" w:rsidRPr="008525D3">
        <w:rPr>
          <w:rFonts w:ascii="Times New Roman" w:eastAsiaTheme="minorEastAsia" w:hAnsi="Times New Roman" w:cs="Times New Roman"/>
          <w:sz w:val="24"/>
          <w:szCs w:val="24"/>
          <w:lang w:val="hy-AM"/>
        </w:rPr>
        <w:t>“</w:t>
      </w:r>
      <w:r w:rsidR="008525D3" w:rsidRPr="00232F80">
        <w:rPr>
          <w:rFonts w:ascii="Times New Roman" w:eastAsiaTheme="minorEastAsia" w:hAnsi="Times New Roman" w:cs="Times New Roman"/>
          <w:sz w:val="24"/>
          <w:szCs w:val="24"/>
          <w:lang w:val="hy-AM"/>
        </w:rPr>
        <w:t>Ардшинбанк</w:t>
      </w:r>
      <w:r w:rsidR="00232F80" w:rsidRPr="008525D3">
        <w:rPr>
          <w:rFonts w:ascii="Times New Roman" w:eastAsiaTheme="minorEastAsia" w:hAnsi="Times New Roman" w:cs="Times New Roman"/>
          <w:sz w:val="24"/>
          <w:szCs w:val="24"/>
          <w:lang w:val="hy-AM"/>
        </w:rPr>
        <w:t>”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. По размеру активов на его долю приходится 18% банковской системы Армении. Из данных </w:t>
      </w:r>
      <w:r w:rsidR="000307F3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Графика</w:t>
      </w:r>
      <w:r w:rsidR="00505A98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1 можно сделать вывод, что </w:t>
      </w:r>
      <w:r w:rsidR="00505A98">
        <w:rPr>
          <w:rFonts w:ascii="Times New Roman" w:eastAsiaTheme="minorEastAsia" w:hAnsi="Times New Roman" w:cs="Times New Roman"/>
          <w:sz w:val="24"/>
          <w:szCs w:val="24"/>
          <w:lang w:val="ru-RU"/>
        </w:rPr>
        <w:t>Б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анк усиливает инвестиционную деятельность по всем возможным направлениям. При этом</w:t>
      </w:r>
      <w:r w:rsidR="005D0B5A">
        <w:rPr>
          <w:rFonts w:ascii="Times New Roman" w:eastAsiaTheme="minorEastAsia" w:hAnsi="Times New Roman" w:cs="Times New Roman"/>
          <w:sz w:val="24"/>
          <w:szCs w:val="24"/>
          <w:lang w:val="hy-AM"/>
        </w:rPr>
        <w:t>,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доля ценных бумаг в активах увеличивается </w:t>
      </w:r>
      <w:r w:rsidR="000307F3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>наряду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с кредитами. Однако следует отметить, что ценные бумаги</w:t>
      </w:r>
      <w:r w:rsidR="00505A98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</w:t>
      </w:r>
      <w:r w:rsidR="00505A98">
        <w:rPr>
          <w:rFonts w:ascii="Times New Roman" w:eastAsiaTheme="minorEastAsia" w:hAnsi="Times New Roman" w:cs="Times New Roman"/>
          <w:sz w:val="24"/>
          <w:szCs w:val="24"/>
          <w:lang w:val="ru-RU"/>
        </w:rPr>
        <w:t>Б</w:t>
      </w:r>
      <w:r w:rsidR="00034F1C">
        <w:rPr>
          <w:rFonts w:ascii="Times New Roman" w:eastAsiaTheme="minorEastAsia" w:hAnsi="Times New Roman" w:cs="Times New Roman"/>
          <w:sz w:val="24"/>
          <w:szCs w:val="24"/>
          <w:lang w:val="hy-AM"/>
        </w:rPr>
        <w:t>анка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в основном делятся на государственные ценные бумаги и операции РЕПО. С 2020 года банк рабо</w:t>
      </w:r>
      <w:r w:rsidR="001111D0">
        <w:rPr>
          <w:rFonts w:ascii="Times New Roman" w:eastAsiaTheme="minorEastAsia" w:hAnsi="Times New Roman" w:cs="Times New Roman"/>
          <w:sz w:val="24"/>
          <w:szCs w:val="24"/>
          <w:lang w:val="hy-AM"/>
        </w:rPr>
        <w:t>тает с большим объемом рисков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ых корпоративных ценных бумаг, инвестируя как в отечественные, так и в иностранные ценные бумаги, как имеющие, так и не имеющие рейтинга. Следует отметить, что за рассматриваемые годы объем выданных кредитов увеличился примерно на 21%, а вложений в ценные бумаги – на 12%. На первый взгляд кажется, что показатель NOPAT увеличивается за счет увеличения объема кредитов, однако вложения в ценные бумаги в структуре активов выросли примерно в два раза, в отличие от удельного веса кредитов.</w:t>
      </w:r>
      <w:r w:rsidR="00B91EC7" w:rsidRPr="00245B0F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</w:t>
      </w:r>
    </w:p>
    <w:p w:rsidR="00A01E08" w:rsidRDefault="00245B0F" w:rsidP="00D979B0">
      <w:pPr>
        <w:spacing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Чтобы понять </w:t>
      </w:r>
      <w:r w:rsidR="00C57AFD"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>с помощью какой политики Банк обеспечивает достаточно высокую прибыльность</w:t>
      </w:r>
      <w:r w:rsidR="00C57AFD">
        <w:rPr>
          <w:rFonts w:ascii="Times New Roman" w:eastAsiaTheme="minorEastAsia" w:hAnsi="Times New Roman" w:cs="Times New Roman"/>
          <w:sz w:val="24"/>
          <w:szCs w:val="24"/>
          <w:lang w:val="hy-AM"/>
        </w:rPr>
        <w:t>,</w:t>
      </w:r>
      <w:r w:rsidRPr="00245B0F">
        <w:rPr>
          <w:rFonts w:ascii="Times New Roman" w:eastAsiaTheme="minorEastAsia" w:hAnsi="Times New Roman" w:cs="Times New Roman"/>
          <w:sz w:val="24"/>
          <w:szCs w:val="24"/>
          <w:lang w:val="hy-AM"/>
        </w:rPr>
        <w:t xml:space="preserve"> рассмотрим показатели, представленные на Графике 2</w:t>
      </w:r>
      <w:r w:rsidR="00BE1942">
        <w:rPr>
          <w:rFonts w:ascii="Times New Roman" w:eastAsiaTheme="minorEastAsia" w:hAnsi="Times New Roman" w:cs="Times New Roman"/>
          <w:sz w:val="24"/>
          <w:szCs w:val="24"/>
          <w:lang w:val="ru-RU"/>
        </w:rPr>
        <w:t>.</w:t>
      </w:r>
    </w:p>
    <w:p w:rsidR="00647011" w:rsidRDefault="00DC41D9" w:rsidP="00D979B0">
      <w:pPr>
        <w:spacing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1EC84FEF" wp14:editId="05AF441E">
            <wp:simplePos x="0" y="0"/>
            <wp:positionH relativeFrom="column">
              <wp:posOffset>-635</wp:posOffset>
            </wp:positionH>
            <wp:positionV relativeFrom="paragraph">
              <wp:posOffset>26035</wp:posOffset>
            </wp:positionV>
            <wp:extent cx="6178550" cy="1368425"/>
            <wp:effectExtent l="0" t="0" r="12700" b="22225"/>
            <wp:wrapNone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1942" w:rsidRDefault="00BE1942" w:rsidP="00D979B0">
      <w:pPr>
        <w:spacing w:line="240" w:lineRule="auto"/>
        <w:ind w:firstLine="709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</w:p>
    <w:p w:rsidR="00F616A9" w:rsidRPr="00245B0F" w:rsidRDefault="00F616A9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hy-AM"/>
        </w:rPr>
      </w:pPr>
    </w:p>
    <w:p w:rsidR="00F616A9" w:rsidRPr="00245B0F" w:rsidRDefault="00F616A9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hy-AM"/>
        </w:rPr>
      </w:pPr>
    </w:p>
    <w:p w:rsidR="00F616A9" w:rsidRPr="00245B0F" w:rsidRDefault="00F616A9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hy-AM"/>
        </w:rPr>
      </w:pPr>
    </w:p>
    <w:p w:rsidR="00A01E08" w:rsidRPr="00245B0F" w:rsidRDefault="00A01E08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hy-AM"/>
        </w:rPr>
      </w:pPr>
    </w:p>
    <w:p w:rsidR="00A01E08" w:rsidRPr="00245B0F" w:rsidRDefault="00A01E08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hy-AM"/>
        </w:rPr>
      </w:pPr>
    </w:p>
    <w:p w:rsidR="00A01E08" w:rsidRPr="00245B0F" w:rsidRDefault="00A01E08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hy-AM"/>
        </w:rPr>
      </w:pPr>
    </w:p>
    <w:p w:rsidR="00874333" w:rsidRPr="008525D3" w:rsidRDefault="00516500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hy-AM"/>
        </w:rPr>
      </w:pP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График 1. Кап</w:t>
      </w:r>
      <w:r w:rsidR="00BB735D">
        <w:rPr>
          <w:rFonts w:ascii="Times New Roman" w:hAnsi="Times New Roman" w:cs="Times New Roman"/>
          <w:b/>
          <w:i/>
          <w:sz w:val="24"/>
          <w:szCs w:val="24"/>
          <w:lang w:val="ru-RU"/>
        </w:rPr>
        <w:t>итал, Активы, Кредиты, Ценные б</w:t>
      </w:r>
      <w:r w:rsidR="00BB735D">
        <w:rPr>
          <w:rFonts w:ascii="Times New Roman" w:hAnsi="Times New Roman" w:cs="Times New Roman"/>
          <w:b/>
          <w:i/>
          <w:sz w:val="24"/>
          <w:szCs w:val="24"/>
          <w:lang w:val="hy-AM"/>
        </w:rPr>
        <w:t>у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маги, Вклады, </w:t>
      </w:r>
      <w:r w:rsidR="005D64B9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млн драм, (левая ось), </w:t>
      </w:r>
      <w:r w:rsidR="00B90F4E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Посленалоговая операционная прибыль</w:t>
      </w:r>
      <w:r w:rsidR="00EA0D6A">
        <w:rPr>
          <w:rFonts w:ascii="Times New Roman" w:hAnsi="Times New Roman" w:cs="Times New Roman"/>
          <w:b/>
          <w:i/>
          <w:sz w:val="24"/>
          <w:szCs w:val="24"/>
          <w:lang w:val="hy-AM"/>
        </w:rPr>
        <w:t>,</w:t>
      </w:r>
      <w:r w:rsidR="00B90F4E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млн драм (правая ось), 2014-2024</w:t>
      </w:r>
      <w:r w:rsidR="00DE31E2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,</w:t>
      </w:r>
      <w:r w:rsidR="005A3857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по данным</w:t>
      </w:r>
      <w:r w:rsidR="00B658E3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годовых отчетов</w:t>
      </w:r>
      <w:r w:rsidR="005A3857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</w:t>
      </w:r>
      <w:r w:rsidR="008525D3" w:rsidRPr="008525D3">
        <w:rPr>
          <w:rFonts w:ascii="Times New Roman" w:hAnsi="Times New Roman" w:cs="Times New Roman"/>
          <w:b/>
          <w:i/>
          <w:sz w:val="24"/>
          <w:szCs w:val="24"/>
          <w:lang w:val="hy-AM"/>
        </w:rPr>
        <w:t>ЗАО “Америабанк”</w:t>
      </w:r>
    </w:p>
    <w:p w:rsidR="00045FC5" w:rsidRPr="00245B0F" w:rsidRDefault="00045FC5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4"/>
          <w:lang w:val="ru-RU"/>
        </w:rPr>
      </w:pP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Из </w:t>
      </w:r>
      <w:r w:rsidR="00245B0F"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Г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рафика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2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видно,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что </w:t>
      </w:r>
      <w:r w:rsidR="00505A98" w:rsidRPr="00505A98">
        <w:rPr>
          <w:rFonts w:ascii="Times New Roman" w:hAnsi="Times New Roman" w:cs="Times New Roman"/>
          <w:sz w:val="24"/>
          <w:szCs w:val="24"/>
          <w:lang w:val="hy-AM"/>
        </w:rPr>
        <w:t>ЗАО “Америабанк”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увеличил рентабельность капитала до 2022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года в основном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за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счет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снижения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финансового рычага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или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риска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,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повышения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рентабельности и эффективности направлений инвестиционной деятельности, оптимальной процентной политики и оптимизации процентных расходов.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="00245B0F"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</w:t>
      </w:r>
      <w:r w:rsidR="00505A98">
        <w:rPr>
          <w:rStyle w:val="anegp0gi0b9av8jahpyh"/>
          <w:rFonts w:ascii="Times New Roman" w:hAnsi="Times New Roman" w:cs="Times New Roman"/>
          <w:sz w:val="24"/>
          <w:lang w:val="ru-RU"/>
        </w:rPr>
        <w:t>осле 2022 года прибыльность Б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анка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снизилась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в результате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сокращения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объема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валютных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операций, хотя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другие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показатели, характеризующие эффективность, продолжали</w:t>
      </w:r>
      <w:r w:rsidRPr="00245B0F">
        <w:rPr>
          <w:rFonts w:ascii="Times New Roman" w:hAnsi="Times New Roman" w:cs="Times New Roman"/>
          <w:sz w:val="24"/>
          <w:lang w:val="ru-RU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sz w:val="24"/>
          <w:lang w:val="ru-RU"/>
        </w:rPr>
        <w:t>расти</w:t>
      </w:r>
      <w:r w:rsidR="00245B0F" w:rsidRPr="00245B0F">
        <w:rPr>
          <w:rFonts w:ascii="Times New Roman" w:hAnsi="Times New Roman" w:cs="Times New Roman"/>
          <w:sz w:val="24"/>
          <w:lang w:val="ru-RU"/>
        </w:rPr>
        <w:t>.</w:t>
      </w:r>
    </w:p>
    <w:p w:rsidR="001231CF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>
        <w:rPr>
          <w:noProof/>
        </w:rPr>
        <w:drawing>
          <wp:anchor distT="0" distB="0" distL="114300" distR="114300" simplePos="0" relativeHeight="251670528" behindDoc="0" locked="0" layoutInCell="1" allowOverlap="1" wp14:anchorId="2FD4E088" wp14:editId="14B68CA3">
            <wp:simplePos x="0" y="0"/>
            <wp:positionH relativeFrom="column">
              <wp:posOffset>-340</wp:posOffset>
            </wp:positionH>
            <wp:positionV relativeFrom="paragraph">
              <wp:posOffset>56396</wp:posOffset>
            </wp:positionV>
            <wp:extent cx="6178991" cy="1303699"/>
            <wp:effectExtent l="0" t="0" r="12700" b="10795"/>
            <wp:wrapNone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9226D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B9226D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B9226D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B9226D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B9226D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B9226D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B9226D" w:rsidRPr="008671E8" w:rsidRDefault="00B9226D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1231CF" w:rsidRPr="00C166C9" w:rsidRDefault="001231CF" w:rsidP="00C166C9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hy-AM"/>
        </w:rPr>
      </w:pP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График 2. Показатели рентабелности </w:t>
      </w:r>
      <w:r w:rsidR="009C2EA1">
        <w:rPr>
          <w:rFonts w:ascii="Times New Roman" w:hAnsi="Times New Roman" w:cs="Times New Roman"/>
          <w:b/>
          <w:i/>
          <w:sz w:val="24"/>
          <w:szCs w:val="24"/>
          <w:lang w:val="ru-RU"/>
        </w:rPr>
        <w:t>ЗАО “Америабанк”</w:t>
      </w:r>
      <w:r w:rsidR="00B31AF0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, </w:t>
      </w:r>
      <w:r w:rsidR="008A1108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Финансовый рычаг или Леверидж, (правая ось), 2014-2024</w:t>
      </w:r>
      <w:r w:rsidR="00C166C9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, </w:t>
      </w:r>
      <w:r w:rsidR="00C166C9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>по данным</w:t>
      </w:r>
      <w:r w:rsidR="00C166C9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годовых отчетов</w:t>
      </w:r>
      <w:r w:rsidR="00C166C9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</w:t>
      </w:r>
      <w:r w:rsidR="009C2EA1">
        <w:rPr>
          <w:rFonts w:ascii="Times New Roman" w:hAnsi="Times New Roman" w:cs="Times New Roman"/>
          <w:b/>
          <w:i/>
          <w:sz w:val="24"/>
          <w:szCs w:val="24"/>
          <w:lang w:val="hy-AM"/>
        </w:rPr>
        <w:t>ЗАО “Америабанк”</w:t>
      </w:r>
    </w:p>
    <w:p w:rsidR="007641B3" w:rsidRDefault="00CF53CA" w:rsidP="007641B3">
      <w:pPr>
        <w:spacing w:line="240" w:lineRule="auto"/>
        <w:ind w:firstLine="709"/>
        <w:contextualSpacing/>
        <w:jc w:val="both"/>
        <w:rPr>
          <w:rStyle w:val="anegp0gi0b9av8jahpyh"/>
          <w:lang w:val="ru-RU"/>
        </w:rPr>
      </w:pPr>
      <w:r w:rsidRPr="00C818C1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Для расчета показателя EVA был рассчитан показатель CAPM, который достиг самого высокого уровня в 2023 году, за счет дивидендов, выплаченных банком в размере 23 миллиардов драмов </w:t>
      </w:r>
      <w:r w:rsidR="00C818C1" w:rsidRPr="00C818C1">
        <w:rPr>
          <w:rStyle w:val="anegp0gi0b9av8jahpyh"/>
          <w:rFonts w:ascii="Times New Roman" w:hAnsi="Times New Roman" w:cs="Times New Roman"/>
          <w:sz w:val="24"/>
          <w:lang w:val="ru-RU"/>
        </w:rPr>
        <w:t>РА</w:t>
      </w:r>
      <w:r w:rsidRPr="00C818C1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. </w:t>
      </w:r>
      <w:r w:rsidR="00C818C1" w:rsidRPr="00C818C1">
        <w:rPr>
          <w:rStyle w:val="anegp0gi0b9av8jahpyh"/>
          <w:rFonts w:ascii="Times New Roman" w:hAnsi="Times New Roman" w:cs="Times New Roman"/>
          <w:sz w:val="24"/>
          <w:lang w:val="ru-RU"/>
        </w:rPr>
        <w:t>П</w:t>
      </w:r>
      <w:r w:rsidRPr="00C818C1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оследний в среднем примерно в 19 раз превысил уровень дивидендов, выплаченных в другие годы. </w:t>
      </w:r>
      <w:r w:rsidR="00C818C1" w:rsidRPr="00C818C1">
        <w:rPr>
          <w:rStyle w:val="anegp0gi0b9av8jahpyh"/>
          <w:rFonts w:ascii="Times New Roman" w:hAnsi="Times New Roman" w:cs="Times New Roman"/>
          <w:sz w:val="24"/>
          <w:lang w:val="ru-RU"/>
        </w:rPr>
        <w:t>В</w:t>
      </w:r>
      <w:r w:rsidRPr="00C818C1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результате рыночная процентная ставка Банка выросла в среднем в 15 раз, достигнув 61%. </w:t>
      </w:r>
      <w:r w:rsidR="00C818C1" w:rsidRPr="00C818C1">
        <w:rPr>
          <w:rStyle w:val="anegp0gi0b9av8jahpyh"/>
          <w:rFonts w:ascii="Times New Roman" w:hAnsi="Times New Roman" w:cs="Times New Roman"/>
          <w:sz w:val="24"/>
          <w:lang w:val="ru-RU"/>
        </w:rPr>
        <w:t>В</w:t>
      </w:r>
      <w:r w:rsidRPr="00C818C1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2023 году банк стал достаточно привлекательным с точки зрения инвестирования</w:t>
      </w:r>
      <w:r w:rsidR="00C818C1" w:rsidRPr="00C818C1">
        <w:rPr>
          <w:rStyle w:val="anegp0gi0b9av8jahpyh"/>
          <w:rFonts w:ascii="Times New Roman" w:hAnsi="Times New Roman" w:cs="Times New Roman"/>
          <w:sz w:val="24"/>
          <w:lang w:val="ru-RU"/>
        </w:rPr>
        <w:t>.</w:t>
      </w:r>
    </w:p>
    <w:p w:rsidR="007641B3" w:rsidRDefault="007641B3" w:rsidP="007641B3">
      <w:pPr>
        <w:spacing w:line="240" w:lineRule="auto"/>
        <w:ind w:firstLine="709"/>
        <w:contextualSpacing/>
        <w:jc w:val="both"/>
        <w:rPr>
          <w:rStyle w:val="anegp0gi0b9av8jahpyh"/>
          <w:lang w:val="ru-RU"/>
        </w:rPr>
      </w:pPr>
    </w:p>
    <w:p w:rsidR="007641B3" w:rsidRDefault="007641B3" w:rsidP="007641B3">
      <w:pPr>
        <w:spacing w:line="240" w:lineRule="auto"/>
        <w:ind w:firstLine="709"/>
        <w:contextualSpacing/>
        <w:jc w:val="both"/>
        <w:rPr>
          <w:rStyle w:val="anegp0gi0b9av8jahpyh"/>
          <w:lang w:val="ru-RU"/>
        </w:rPr>
      </w:pPr>
    </w:p>
    <w:p w:rsidR="007641B3" w:rsidRDefault="007641B3" w:rsidP="007641B3">
      <w:pPr>
        <w:spacing w:line="240" w:lineRule="auto"/>
        <w:ind w:firstLine="709"/>
        <w:contextualSpacing/>
        <w:jc w:val="both"/>
        <w:rPr>
          <w:rStyle w:val="anegp0gi0b9av8jahpyh"/>
          <w:lang w:val="ru-RU"/>
        </w:rPr>
      </w:pPr>
    </w:p>
    <w:p w:rsidR="00874333" w:rsidRPr="00245B0F" w:rsidRDefault="005808D4" w:rsidP="007641B3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1" wp14:anchorId="3A3E0AC7" wp14:editId="79304BA8">
            <wp:simplePos x="0" y="0"/>
            <wp:positionH relativeFrom="column">
              <wp:posOffset>31115</wp:posOffset>
            </wp:positionH>
            <wp:positionV relativeFrom="paragraph">
              <wp:posOffset>64770</wp:posOffset>
            </wp:positionV>
            <wp:extent cx="6146800" cy="1262380"/>
            <wp:effectExtent l="0" t="0" r="25400" b="13970"/>
            <wp:wrapNone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7ECA" w:rsidRDefault="002C7ECA" w:rsidP="00D979B0">
      <w:pPr>
        <w:tabs>
          <w:tab w:val="left" w:pos="216"/>
        </w:tabs>
        <w:spacing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2C7ECA" w:rsidRPr="008671E8" w:rsidRDefault="002C7ECA" w:rsidP="00D979B0">
      <w:pPr>
        <w:tabs>
          <w:tab w:val="left" w:pos="216"/>
        </w:tabs>
        <w:spacing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327128" w:rsidRDefault="00327128" w:rsidP="00D979B0">
      <w:pPr>
        <w:tabs>
          <w:tab w:val="left" w:pos="216"/>
        </w:tabs>
        <w:spacing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lang w:val="hy-AM"/>
        </w:rPr>
      </w:pPr>
    </w:p>
    <w:p w:rsidR="00C166C9" w:rsidRPr="00C166C9" w:rsidRDefault="00C166C9" w:rsidP="00D979B0">
      <w:pPr>
        <w:tabs>
          <w:tab w:val="left" w:pos="216"/>
        </w:tabs>
        <w:spacing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lang w:val="hy-AM"/>
        </w:rPr>
      </w:pPr>
    </w:p>
    <w:p w:rsidR="00327128" w:rsidRPr="008671E8" w:rsidRDefault="00327128" w:rsidP="00D979B0">
      <w:pPr>
        <w:tabs>
          <w:tab w:val="left" w:pos="216"/>
        </w:tabs>
        <w:spacing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327128" w:rsidRPr="008671E8" w:rsidRDefault="00327128" w:rsidP="00D979B0">
      <w:pPr>
        <w:tabs>
          <w:tab w:val="left" w:pos="216"/>
        </w:tabs>
        <w:spacing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327128" w:rsidRPr="008671E8" w:rsidRDefault="00327128" w:rsidP="00D979B0">
      <w:pPr>
        <w:tabs>
          <w:tab w:val="left" w:pos="216"/>
        </w:tabs>
        <w:spacing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C166C9" w:rsidRPr="00E33436" w:rsidRDefault="002E14B2" w:rsidP="00C166C9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График</w:t>
      </w:r>
      <w:r w:rsidR="000C2723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3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. Рыночная ставка, Безрисковая ставка, % (</w:t>
      </w:r>
      <w:r w:rsidR="005A3857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левая ось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)</w:t>
      </w:r>
      <w:r w:rsidR="005A3857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, </w:t>
      </w:r>
      <w:r w:rsidR="005A3857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CAPM, % </w:t>
      </w:r>
      <w:r w:rsidR="002C7ECA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(правая ось), </w:t>
      </w:r>
      <w:r w:rsidR="005A3857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2014-2024</w:t>
      </w:r>
      <w:r w:rsidR="00DE31E2"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,</w:t>
      </w:r>
      <w:r w:rsidR="005A3857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</w:t>
      </w:r>
      <w:r w:rsidR="00C166C9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>по данным</w:t>
      </w:r>
      <w:r w:rsidR="00C166C9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годовых отчетов</w:t>
      </w:r>
      <w:r w:rsidR="00C166C9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</w:t>
      </w:r>
      <w:r w:rsidR="009C2EA1">
        <w:rPr>
          <w:rFonts w:ascii="Times New Roman" w:hAnsi="Times New Roman" w:cs="Times New Roman"/>
          <w:b/>
          <w:i/>
          <w:sz w:val="24"/>
          <w:szCs w:val="24"/>
          <w:lang w:val="hy-AM"/>
        </w:rPr>
        <w:t>ЗАО “Америабанк”</w:t>
      </w:r>
    </w:p>
    <w:p w:rsidR="003222D7" w:rsidRPr="00CC0302" w:rsidRDefault="003222D7" w:rsidP="00D979B0">
      <w:pPr>
        <w:tabs>
          <w:tab w:val="left" w:pos="216"/>
        </w:tabs>
        <w:spacing w:line="240" w:lineRule="auto"/>
        <w:ind w:firstLine="709"/>
        <w:contextualSpacing/>
        <w:jc w:val="both"/>
        <w:rPr>
          <w:rStyle w:val="anegp0gi0b9av8jahpyh"/>
          <w:rFonts w:ascii="Times New Roman" w:hAnsi="Times New Roman" w:cs="Times New Roman"/>
          <w:sz w:val="24"/>
          <w:lang w:val="ru-RU"/>
        </w:rPr>
      </w:pPr>
      <w:r w:rsidRPr="00CC0302">
        <w:rPr>
          <w:rStyle w:val="anegp0gi0b9av8jahpyh"/>
          <w:rFonts w:ascii="Times New Roman" w:hAnsi="Times New Roman" w:cs="Times New Roman"/>
          <w:sz w:val="24"/>
          <w:lang w:val="ru-RU"/>
        </w:rPr>
        <w:t>Показатель CAPM напрямую влияет на показатель WACC. За прошедшие годы стоимость обязательств банка незначительно снизилась, налог на прибыль также снизился, а стоимость инвестированного капитала увеличилась только в 2023 году. Это еще раз свидетельствует о</w:t>
      </w:r>
      <w:r w:rsidR="008813C0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том, что Б</w:t>
      </w:r>
      <w:r w:rsidRPr="00CC0302">
        <w:rPr>
          <w:rStyle w:val="anegp0gi0b9av8jahpyh"/>
          <w:rFonts w:ascii="Times New Roman" w:hAnsi="Times New Roman" w:cs="Times New Roman"/>
          <w:sz w:val="24"/>
          <w:lang w:val="ru-RU"/>
        </w:rPr>
        <w:t>анк делает упор на оптимальную процентную политику привлечения ресурсов и инвестирует в доходные активы. В то же время WACC позволяет сд</w:t>
      </w:r>
      <w:r w:rsidR="008813C0">
        <w:rPr>
          <w:rStyle w:val="anegp0gi0b9av8jahpyh"/>
          <w:rFonts w:ascii="Times New Roman" w:hAnsi="Times New Roman" w:cs="Times New Roman"/>
          <w:sz w:val="24"/>
          <w:lang w:val="ru-RU"/>
        </w:rPr>
        <w:t>елать вывод, что, хотя капитал Б</w:t>
      </w:r>
      <w:r w:rsidRPr="00CC0302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анка растет с годами, его величина была наиболее привлекательной только в 2023 году. </w:t>
      </w:r>
      <w:r w:rsidR="008B34B7">
        <w:rPr>
          <w:rStyle w:val="anegp0gi0b9av8jahpyh"/>
          <w:rFonts w:ascii="Times New Roman" w:hAnsi="Times New Roman" w:cs="Times New Roman"/>
          <w:sz w:val="24"/>
          <w:lang w:val="hy-AM"/>
        </w:rPr>
        <w:t>Однако,</w:t>
      </w:r>
      <w:r w:rsidRPr="00CC0302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рентабельность собственного капитала достигла своего максимального значения в 2022 году. WACC позволяет инвесторам более эффективно оценивать рентабельность своих инвестиций, чем классическая рентабельность инвестиций</w:t>
      </w:r>
      <w:r w:rsidR="00CC0302" w:rsidRPr="00CC0302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(ROE)</w:t>
      </w:r>
      <w:r w:rsidRPr="00CC0302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. </w:t>
      </w:r>
      <w:r w:rsidR="00CC0302" w:rsidRPr="00CC0302">
        <w:rPr>
          <w:rStyle w:val="anegp0gi0b9av8jahpyh"/>
          <w:rFonts w:ascii="Times New Roman" w:hAnsi="Times New Roman" w:cs="Times New Roman"/>
          <w:sz w:val="24"/>
          <w:lang w:val="ru-RU"/>
        </w:rPr>
        <w:t>В</w:t>
      </w:r>
      <w:r w:rsidRPr="00CC0302">
        <w:rPr>
          <w:rStyle w:val="anegp0gi0b9av8jahpyh"/>
          <w:rFonts w:ascii="Times New Roman" w:hAnsi="Times New Roman" w:cs="Times New Roman"/>
          <w:sz w:val="24"/>
          <w:lang w:val="ru-RU"/>
        </w:rPr>
        <w:t xml:space="preserve"> то же время, чем выше WACC, тем выше риск банка</w:t>
      </w:r>
      <w:r w:rsidR="00CC0302" w:rsidRPr="00CC0302">
        <w:rPr>
          <w:rStyle w:val="anegp0gi0b9av8jahpyh"/>
          <w:rFonts w:ascii="Times New Roman" w:hAnsi="Times New Roman" w:cs="Times New Roman"/>
          <w:sz w:val="24"/>
          <w:lang w:val="ru-RU"/>
        </w:rPr>
        <w:t>.</w:t>
      </w:r>
    </w:p>
    <w:p w:rsidR="00BE70D0" w:rsidRPr="00CC0302" w:rsidRDefault="009E5B9E" w:rsidP="00D979B0">
      <w:pPr>
        <w:spacing w:line="240" w:lineRule="auto"/>
        <w:ind w:firstLine="709"/>
        <w:contextualSpacing/>
        <w:jc w:val="both"/>
        <w:rPr>
          <w:rStyle w:val="anegp0gi0b9av8jahpyh"/>
          <w:rFonts w:ascii="Times New Roman" w:hAnsi="Times New Roman" w:cs="Times New Roman"/>
          <w:sz w:val="24"/>
          <w:lang w:val="ru-RU"/>
        </w:rPr>
      </w:pPr>
      <w:r>
        <w:rPr>
          <w:noProof/>
        </w:rPr>
        <w:drawing>
          <wp:anchor distT="0" distB="0" distL="114300" distR="114300" simplePos="0" relativeHeight="251672576" behindDoc="0" locked="0" layoutInCell="1" allowOverlap="1" wp14:anchorId="4CD3644A" wp14:editId="64BB5940">
            <wp:simplePos x="0" y="0"/>
            <wp:positionH relativeFrom="column">
              <wp:posOffset>0</wp:posOffset>
            </wp:positionH>
            <wp:positionV relativeFrom="paragraph">
              <wp:posOffset>48895</wp:posOffset>
            </wp:positionV>
            <wp:extent cx="6120130" cy="1334770"/>
            <wp:effectExtent l="0" t="0" r="13970" b="17780"/>
            <wp:wrapNone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70D0" w:rsidRPr="00245B0F" w:rsidRDefault="00BE70D0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ru-RU"/>
        </w:rPr>
      </w:pPr>
    </w:p>
    <w:p w:rsidR="00B91EC7" w:rsidRPr="002604E5" w:rsidRDefault="00B91EC7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322A89" w:rsidRPr="00245B0F" w:rsidRDefault="00322A89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556676" w:rsidRPr="00245B0F" w:rsidRDefault="00556676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hy-AM"/>
        </w:rPr>
      </w:pPr>
    </w:p>
    <w:p w:rsidR="00F6186B" w:rsidRPr="00245B0F" w:rsidRDefault="00F6186B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hy-AM"/>
        </w:rPr>
      </w:pPr>
    </w:p>
    <w:p w:rsidR="00F6186B" w:rsidRPr="00E33436" w:rsidRDefault="00F6186B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ru-RU"/>
        </w:rPr>
      </w:pPr>
    </w:p>
    <w:p w:rsidR="00E33436" w:rsidRPr="005F5284" w:rsidRDefault="00E33436" w:rsidP="00D979B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  <w:lang w:val="ru-RU"/>
        </w:rPr>
      </w:pPr>
    </w:p>
    <w:p w:rsidR="004A2505" w:rsidRPr="00E33436" w:rsidRDefault="002604E5" w:rsidP="004A250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График</w:t>
      </w:r>
      <w:r w:rsidR="000C2723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</w:t>
      </w:r>
      <w:r w:rsidR="000C2723">
        <w:rPr>
          <w:rFonts w:ascii="Times New Roman" w:hAnsi="Times New Roman" w:cs="Times New Roman"/>
          <w:b/>
          <w:i/>
          <w:sz w:val="24"/>
          <w:szCs w:val="24"/>
          <w:lang w:val="ru-RU"/>
        </w:rPr>
        <w:t>4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. 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Стоимость инвестиционного капитала, Стоимость долга, Ставка налога на прибыль, %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, 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(левая ось), Средневзвешенная стоимость капитала (WACC), %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, 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(правая ось), 2014-2024, </w:t>
      </w:r>
      <w:r w:rsidR="004A2505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>по данным</w:t>
      </w:r>
      <w:r w:rsidR="004A2505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годовых отчетов</w:t>
      </w:r>
      <w:r w:rsidR="004A2505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</w:t>
      </w:r>
      <w:r w:rsidR="009C2EA1">
        <w:rPr>
          <w:rFonts w:ascii="Times New Roman" w:hAnsi="Times New Roman" w:cs="Times New Roman"/>
          <w:b/>
          <w:i/>
          <w:sz w:val="24"/>
          <w:szCs w:val="24"/>
          <w:lang w:val="hy-AM"/>
        </w:rPr>
        <w:t>ЗАО “Америабанк”</w:t>
      </w:r>
    </w:p>
    <w:p w:rsidR="00BA70E7" w:rsidRPr="008E6B46" w:rsidRDefault="002C1C74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Важно отметить, что итоги 2023 года стали прорывными в сфере эффективности</w:t>
      </w:r>
      <w:r w:rsidR="004A2505">
        <w:rPr>
          <w:rFonts w:ascii="Times New Roman" w:hAnsi="Times New Roman" w:cs="Times New Roman"/>
          <w:sz w:val="24"/>
          <w:szCs w:val="24"/>
          <w:lang w:val="hy-AM"/>
        </w:rPr>
        <w:t xml:space="preserve"> Банка</w:t>
      </w:r>
      <w:r>
        <w:rPr>
          <w:rFonts w:ascii="Times New Roman" w:hAnsi="Times New Roman" w:cs="Times New Roman"/>
          <w:sz w:val="24"/>
          <w:szCs w:val="24"/>
          <w:lang w:val="ru-RU"/>
        </w:rPr>
        <w:t>. В частности, к</w:t>
      </w:r>
      <w:r w:rsidRPr="002C1C74">
        <w:rPr>
          <w:rFonts w:ascii="Times New Roman" w:hAnsi="Times New Roman" w:cs="Times New Roman"/>
          <w:sz w:val="24"/>
          <w:szCs w:val="24"/>
          <w:lang w:val="ru-RU"/>
        </w:rPr>
        <w:t>омпании Lion Finance Group PLC (Bank of Georgia Group PLC) и JSC Bank of Georgia приобрели значительное долевое участие в размере 90% в уставном капитале Банка. Европейский банк реконструкции и развития (ЕБРР) сохраняет свое участие в уставном капитале Банка в размере 10%.</w:t>
      </w:r>
      <w:r w:rsidR="001C1D7A">
        <w:rPr>
          <w:rFonts w:ascii="Times New Roman" w:hAnsi="Times New Roman" w:cs="Times New Roman"/>
          <w:sz w:val="24"/>
          <w:szCs w:val="24"/>
          <w:lang w:val="ru-RU"/>
        </w:rPr>
        <w:t xml:space="preserve"> Более того, номинальная стоимость одной обыкновенной именной</w:t>
      </w:r>
      <w:r w:rsidR="001C1D7A" w:rsidRPr="001C1D7A">
        <w:rPr>
          <w:rFonts w:ascii="Times New Roman" w:hAnsi="Times New Roman" w:cs="Times New Roman"/>
          <w:sz w:val="24"/>
          <w:szCs w:val="24"/>
          <w:lang w:val="ru-RU"/>
        </w:rPr>
        <w:t xml:space="preserve"> акции </w:t>
      </w:r>
      <w:r w:rsidR="001C1D7A">
        <w:rPr>
          <w:rFonts w:ascii="Times New Roman" w:hAnsi="Times New Roman" w:cs="Times New Roman"/>
          <w:sz w:val="24"/>
          <w:szCs w:val="24"/>
          <w:lang w:val="ru-RU"/>
        </w:rPr>
        <w:t>выросла от 320,000</w:t>
      </w:r>
      <w:r w:rsidR="001C1D7A" w:rsidRPr="001C1D7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C1D7A">
        <w:rPr>
          <w:rFonts w:ascii="Times New Roman" w:hAnsi="Times New Roman" w:cs="Times New Roman"/>
          <w:sz w:val="24"/>
          <w:szCs w:val="24"/>
          <w:lang w:val="ru-RU"/>
        </w:rPr>
        <w:t xml:space="preserve">до </w:t>
      </w:r>
      <w:r w:rsidR="001C1D7A" w:rsidRPr="001C1D7A">
        <w:rPr>
          <w:rFonts w:ascii="Times New Roman" w:hAnsi="Times New Roman" w:cs="Times New Roman"/>
          <w:sz w:val="24"/>
          <w:szCs w:val="24"/>
          <w:lang w:val="ru-RU"/>
        </w:rPr>
        <w:t>465,000</w:t>
      </w:r>
      <w:r w:rsidR="001C1D7A">
        <w:rPr>
          <w:rFonts w:ascii="Times New Roman" w:hAnsi="Times New Roman" w:cs="Times New Roman"/>
          <w:sz w:val="24"/>
          <w:szCs w:val="24"/>
          <w:lang w:val="ru-RU"/>
        </w:rPr>
        <w:t xml:space="preserve"> драм</w:t>
      </w:r>
      <w:r w:rsidR="00D94F79" w:rsidRPr="00D94F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94F79">
        <w:rPr>
          <w:rFonts w:ascii="Times New Roman" w:hAnsi="Times New Roman" w:cs="Times New Roman"/>
          <w:sz w:val="24"/>
          <w:szCs w:val="24"/>
          <w:lang w:val="ru-RU"/>
        </w:rPr>
        <w:t>РА</w:t>
      </w:r>
      <w:r w:rsidR="001C1D7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AA3F7B">
        <w:rPr>
          <w:rFonts w:ascii="Times New Roman" w:hAnsi="Times New Roman" w:cs="Times New Roman"/>
          <w:sz w:val="24"/>
          <w:szCs w:val="24"/>
          <w:lang w:val="ru-RU"/>
        </w:rPr>
        <w:t xml:space="preserve">Эффективность </w:t>
      </w:r>
      <w:r w:rsidR="008813C0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="00AA3F7B">
        <w:rPr>
          <w:rFonts w:ascii="Times New Roman" w:hAnsi="Times New Roman" w:cs="Times New Roman"/>
          <w:sz w:val="24"/>
          <w:szCs w:val="24"/>
          <w:lang w:val="ru-RU"/>
        </w:rPr>
        <w:t xml:space="preserve">анка повлияла также на </w:t>
      </w:r>
      <w:r w:rsidR="008E6B46">
        <w:rPr>
          <w:rFonts w:ascii="Times New Roman" w:hAnsi="Times New Roman" w:cs="Times New Roman"/>
          <w:sz w:val="24"/>
          <w:szCs w:val="24"/>
          <w:lang w:val="ru-RU"/>
        </w:rPr>
        <w:t xml:space="preserve">возможность привлечения средств: в 2024 году </w:t>
      </w:r>
      <w:r w:rsidR="008E6B46" w:rsidRPr="008E6B46">
        <w:rPr>
          <w:rFonts w:ascii="Times New Roman" w:hAnsi="Times New Roman" w:cs="Times New Roman"/>
          <w:sz w:val="24"/>
          <w:szCs w:val="24"/>
          <w:lang w:val="ru-RU"/>
        </w:rPr>
        <w:t>Америабанк подписал долгосрочное кредитное соглашение на сумму 200 миллионов долларов США с Международной финансовой корпорацией (IFC)</w:t>
      </w:r>
      <w:r w:rsidR="008E6B46">
        <w:rPr>
          <w:rFonts w:ascii="Times New Roman" w:hAnsi="Times New Roman" w:cs="Times New Roman"/>
          <w:sz w:val="24"/>
          <w:szCs w:val="24"/>
          <w:lang w:val="ru-RU"/>
        </w:rPr>
        <w:t xml:space="preserve">, что означает, </w:t>
      </w:r>
      <w:r w:rsidR="008813C0">
        <w:rPr>
          <w:rFonts w:ascii="Times New Roman" w:hAnsi="Times New Roman" w:cs="Times New Roman"/>
          <w:sz w:val="24"/>
          <w:szCs w:val="24"/>
          <w:lang w:val="ru-RU"/>
        </w:rPr>
        <w:t>что инвестиционная деятельноть Б</w:t>
      </w:r>
      <w:r w:rsidR="008E6B46">
        <w:rPr>
          <w:rFonts w:ascii="Times New Roman" w:hAnsi="Times New Roman" w:cs="Times New Roman"/>
          <w:sz w:val="24"/>
          <w:szCs w:val="24"/>
          <w:lang w:val="ru-RU"/>
        </w:rPr>
        <w:t xml:space="preserve">анка </w:t>
      </w:r>
      <w:r w:rsidR="00D06C74">
        <w:rPr>
          <w:rFonts w:ascii="Times New Roman" w:hAnsi="Times New Roman" w:cs="Times New Roman"/>
          <w:sz w:val="24"/>
          <w:szCs w:val="24"/>
          <w:lang w:val="ru-RU"/>
        </w:rPr>
        <w:t>внушает довер</w:t>
      </w:r>
      <w:r w:rsidR="00D06C74">
        <w:rPr>
          <w:rFonts w:ascii="Times New Roman" w:hAnsi="Times New Roman" w:cs="Times New Roman"/>
          <w:sz w:val="24"/>
          <w:szCs w:val="24"/>
          <w:lang w:val="hy-AM"/>
        </w:rPr>
        <w:t>и</w:t>
      </w:r>
      <w:r w:rsidR="008E6B46">
        <w:rPr>
          <w:rFonts w:ascii="Times New Roman" w:hAnsi="Times New Roman" w:cs="Times New Roman"/>
          <w:sz w:val="24"/>
          <w:szCs w:val="24"/>
          <w:lang w:val="ru-RU"/>
        </w:rPr>
        <w:t>е на международном рынке.</w:t>
      </w:r>
      <w:r w:rsidR="00327C64" w:rsidRPr="007F7422">
        <w:rPr>
          <w:rFonts w:ascii="Times New Roman" w:hAnsi="Times New Roman" w:cs="Times New Roman"/>
          <w:sz w:val="24"/>
          <w:szCs w:val="24"/>
          <w:lang w:val="ru-RU"/>
        </w:rPr>
        <w:t xml:space="preserve"> Все вышеперечисленное </w:t>
      </w:r>
      <w:r w:rsidR="007F7422" w:rsidRPr="007F7422">
        <w:rPr>
          <w:rFonts w:ascii="Times New Roman" w:hAnsi="Times New Roman" w:cs="Times New Roman"/>
          <w:sz w:val="24"/>
          <w:szCs w:val="24"/>
          <w:lang w:val="ru-RU"/>
        </w:rPr>
        <w:t xml:space="preserve">привело к тому, что </w:t>
      </w:r>
      <w:r w:rsidR="008813C0" w:rsidRPr="008813C0">
        <w:rPr>
          <w:rFonts w:ascii="Times New Roman" w:hAnsi="Times New Roman" w:cs="Times New Roman"/>
          <w:sz w:val="24"/>
          <w:szCs w:val="24"/>
          <w:lang w:val="ru-RU"/>
        </w:rPr>
        <w:t>ЗАО “Америабанк”</w:t>
      </w:r>
      <w:r w:rsidR="00327C64" w:rsidRPr="007F742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F7422" w:rsidRPr="007F7422">
        <w:rPr>
          <w:rFonts w:ascii="Times New Roman" w:hAnsi="Times New Roman" w:cs="Times New Roman"/>
          <w:sz w:val="24"/>
          <w:szCs w:val="24"/>
          <w:lang w:val="ru-RU"/>
        </w:rPr>
        <w:t xml:space="preserve">был </w:t>
      </w:r>
      <w:r w:rsidR="00327C64" w:rsidRPr="007F7422">
        <w:rPr>
          <w:rFonts w:ascii="Times New Roman" w:hAnsi="Times New Roman" w:cs="Times New Roman"/>
          <w:sz w:val="24"/>
          <w:szCs w:val="24"/>
          <w:lang w:val="ru-RU"/>
        </w:rPr>
        <w:t>признан лучшим инвестиционным банком Армении в 2024 г. по версии журнала Global Finance</w:t>
      </w:r>
      <w:r w:rsidR="007F742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2604E5" w:rsidRDefault="00D56F7F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>
        <w:rPr>
          <w:noProof/>
        </w:rPr>
        <w:drawing>
          <wp:anchor distT="0" distB="0" distL="114300" distR="114300" simplePos="0" relativeHeight="251674624" behindDoc="0" locked="0" layoutInCell="1" allowOverlap="1" wp14:anchorId="025BDB73" wp14:editId="18FE6D2C">
            <wp:simplePos x="0" y="0"/>
            <wp:positionH relativeFrom="column">
              <wp:posOffset>0</wp:posOffset>
            </wp:positionH>
            <wp:positionV relativeFrom="paragraph">
              <wp:posOffset>65405</wp:posOffset>
            </wp:positionV>
            <wp:extent cx="6120130" cy="1366520"/>
            <wp:effectExtent l="0" t="0" r="13970" b="24130"/>
            <wp:wrapNone/>
            <wp:docPr id="10" name="Chart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04E5" w:rsidRPr="005F5284" w:rsidRDefault="002604E5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310FDF" w:rsidRPr="005F5284" w:rsidRDefault="00310FDF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310FDF" w:rsidRPr="005F5284" w:rsidRDefault="00310FDF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2604E5" w:rsidRPr="002604E5" w:rsidRDefault="002604E5" w:rsidP="00D979B0">
      <w:pPr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</w:p>
    <w:p w:rsidR="002604E5" w:rsidRPr="002604E5" w:rsidRDefault="002604E5" w:rsidP="00D979B0">
      <w:pPr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</w:p>
    <w:p w:rsidR="007C1529" w:rsidRPr="008671E8" w:rsidRDefault="007C1529" w:rsidP="00D979B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</w:p>
    <w:p w:rsidR="002604E5" w:rsidRPr="00D94F79" w:rsidRDefault="002604E5" w:rsidP="00D94F79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i/>
          <w:sz w:val="24"/>
          <w:szCs w:val="24"/>
          <w:lang w:val="hy-AM"/>
        </w:rPr>
      </w:pP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lastRenderedPageBreak/>
        <w:t>График</w:t>
      </w:r>
      <w:r w:rsidR="000C2723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5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>. Экономическая добавленная стоимость (EVA)</w:t>
      </w:r>
      <w:r w:rsidR="00752655">
        <w:rPr>
          <w:rFonts w:ascii="Times New Roman" w:hAnsi="Times New Roman" w:cs="Times New Roman"/>
          <w:b/>
          <w:i/>
          <w:sz w:val="24"/>
          <w:szCs w:val="24"/>
          <w:lang w:val="hy-AM"/>
        </w:rPr>
        <w:t>,</w:t>
      </w:r>
      <w:r w:rsidRPr="00245B0F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млн драм, (левая ось), Дивиденды на акцию (DPS), драм, (правая ось), 2014-2024, </w:t>
      </w:r>
      <w:r w:rsidR="00D94F79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>по данным</w:t>
      </w:r>
      <w:r w:rsidR="00D94F79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годовых отчетов</w:t>
      </w:r>
      <w:r w:rsidR="00D94F79" w:rsidRPr="00245B0F">
        <w:rPr>
          <w:rFonts w:ascii="Times New Roman" w:hAnsi="Times New Roman" w:cs="Times New Roman"/>
          <w:b/>
          <w:i/>
          <w:sz w:val="24"/>
          <w:szCs w:val="24"/>
          <w:lang w:val="hy-AM"/>
        </w:rPr>
        <w:t xml:space="preserve"> </w:t>
      </w:r>
      <w:r w:rsidR="009C2EA1">
        <w:rPr>
          <w:rFonts w:ascii="Times New Roman" w:hAnsi="Times New Roman" w:cs="Times New Roman"/>
          <w:b/>
          <w:i/>
          <w:sz w:val="24"/>
          <w:szCs w:val="24"/>
          <w:lang w:val="hy-AM"/>
        </w:rPr>
        <w:t>ЗАО “Америабанк”</w:t>
      </w:r>
    </w:p>
    <w:p w:rsidR="00D42232" w:rsidRDefault="00440F87" w:rsidP="00D979B0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Данные на графике 5 показывают, что EVA </w:t>
      </w:r>
      <w:r w:rsidR="009C2EA1">
        <w:rPr>
          <w:rFonts w:ascii="Times New Roman" w:hAnsi="Times New Roman" w:cs="Times New Roman"/>
          <w:sz w:val="24"/>
          <w:szCs w:val="24"/>
          <w:lang w:val="hy-AM"/>
        </w:rPr>
        <w:t>ЗАО “Америабанк”</w:t>
      </w:r>
      <w:r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 за все годы имела положительную величину. </w:t>
      </w:r>
      <w:r w:rsidR="00656483">
        <w:rPr>
          <w:rFonts w:ascii="Times New Roman" w:hAnsi="Times New Roman" w:cs="Times New Roman"/>
          <w:sz w:val="24"/>
          <w:szCs w:val="24"/>
          <w:lang w:val="hy-AM"/>
        </w:rPr>
        <w:t xml:space="preserve">Положительное значение </w:t>
      </w:r>
      <w:r w:rsidR="004A0CEB" w:rsidRPr="00BE34B1">
        <w:rPr>
          <w:rFonts w:ascii="Times New Roman" w:hAnsi="Times New Roman" w:cs="Times New Roman"/>
          <w:sz w:val="24"/>
          <w:szCs w:val="24"/>
          <w:lang w:val="hy-AM"/>
        </w:rPr>
        <w:t>EVA указывает на результат деятельности, который увеличивает условную рыночную стоимость предприятия, то есть создает экономическую прибыль.</w:t>
      </w:r>
      <w:r w:rsidR="00503A24" w:rsidRPr="004B1CE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07E9F">
        <w:rPr>
          <w:rFonts w:ascii="Times New Roman" w:hAnsi="Times New Roman" w:cs="Times New Roman"/>
          <w:sz w:val="24"/>
          <w:szCs w:val="24"/>
          <w:lang w:val="ru-RU"/>
        </w:rPr>
        <w:t>Боле</w:t>
      </w:r>
      <w:r w:rsidR="00503A24" w:rsidRPr="004B1CEE">
        <w:rPr>
          <w:rFonts w:ascii="Times New Roman" w:hAnsi="Times New Roman" w:cs="Times New Roman"/>
          <w:sz w:val="24"/>
          <w:szCs w:val="24"/>
          <w:lang w:val="ru-RU"/>
        </w:rPr>
        <w:t>е того, получается, что</w:t>
      </w:r>
      <w:r w:rsidR="008676F3" w:rsidRPr="004B1CE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90301" w:rsidRPr="00BE34B1">
        <w:rPr>
          <w:rFonts w:ascii="Times New Roman" w:hAnsi="Times New Roman" w:cs="Times New Roman"/>
          <w:sz w:val="24"/>
          <w:szCs w:val="24"/>
        </w:rPr>
        <w:t>NOPAT</w:t>
      </w:r>
      <w:r w:rsidR="00B90301" w:rsidRPr="004B1CEE">
        <w:rPr>
          <w:rFonts w:ascii="Times New Roman" w:hAnsi="Times New Roman" w:cs="Times New Roman"/>
          <w:sz w:val="24"/>
          <w:szCs w:val="24"/>
          <w:lang w:val="ru-RU"/>
        </w:rPr>
        <w:t>&gt;</w:t>
      </w:r>
      <w:r w:rsidR="00B90301" w:rsidRPr="00BE34B1">
        <w:rPr>
          <w:rFonts w:ascii="Times New Roman" w:hAnsi="Times New Roman" w:cs="Times New Roman"/>
          <w:sz w:val="24"/>
          <w:szCs w:val="24"/>
        </w:rPr>
        <w:t>WACC</w:t>
      </w:r>
      <w:r w:rsidR="00B90301" w:rsidRPr="004B1CEE">
        <w:rPr>
          <w:rFonts w:ascii="Times New Roman" w:hAnsi="Times New Roman" w:cs="Times New Roman"/>
          <w:sz w:val="24"/>
          <w:szCs w:val="24"/>
          <w:lang w:val="ru-RU"/>
        </w:rPr>
        <w:t>*</w:t>
      </w:r>
      <w:proofErr w:type="spellStart"/>
      <w:r w:rsidR="00B90301" w:rsidRPr="00BE34B1">
        <w:rPr>
          <w:rFonts w:ascii="Times New Roman" w:hAnsi="Times New Roman" w:cs="Times New Roman"/>
          <w:sz w:val="24"/>
          <w:szCs w:val="24"/>
        </w:rPr>
        <w:t>C</w:t>
      </w:r>
      <w:r w:rsidR="00B90301" w:rsidRPr="00F9264B">
        <w:rPr>
          <w:rFonts w:ascii="Times New Roman" w:hAnsi="Times New Roman" w:cs="Times New Roman"/>
          <w:sz w:val="24"/>
          <w:szCs w:val="24"/>
          <w:vertAlign w:val="subscript"/>
        </w:rPr>
        <w:t>e</w:t>
      </w:r>
      <w:proofErr w:type="spellEnd"/>
      <w:r w:rsidR="00BE34B1"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 . </w:t>
      </w:r>
      <w:r w:rsidR="00AD2340">
        <w:rPr>
          <w:rFonts w:ascii="Times New Roman" w:hAnsi="Times New Roman" w:cs="Times New Roman"/>
          <w:sz w:val="24"/>
          <w:szCs w:val="24"/>
          <w:lang w:val="hy-AM"/>
        </w:rPr>
        <w:t>То есть, Б</w:t>
      </w:r>
      <w:r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анк всегда не только компенсировал средневзвешенную стоимость капитала из своей полученной прибыли, но и генерировал дополнительный результат. </w:t>
      </w:r>
      <w:r w:rsidR="00BE34B1" w:rsidRPr="004B1CEE">
        <w:rPr>
          <w:rFonts w:ascii="Times New Roman" w:hAnsi="Times New Roman" w:cs="Times New Roman"/>
          <w:sz w:val="24"/>
          <w:szCs w:val="24"/>
          <w:lang w:val="ru-RU"/>
        </w:rPr>
        <w:t>З</w:t>
      </w:r>
      <w:r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а наблюдаемые годы средний показатель WACC </w:t>
      </w:r>
      <w:r w:rsidR="00AE6874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анка составил 8%. </w:t>
      </w:r>
      <w:r w:rsidR="00BE34B1" w:rsidRPr="004B1CEE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BE34B1">
        <w:rPr>
          <w:rFonts w:ascii="Times New Roman" w:hAnsi="Times New Roman" w:cs="Times New Roman"/>
          <w:sz w:val="24"/>
          <w:szCs w:val="24"/>
          <w:lang w:val="hy-AM"/>
        </w:rPr>
        <w:t>ри это</w:t>
      </w:r>
      <w:r w:rsidR="00AD2340">
        <w:rPr>
          <w:rFonts w:ascii="Times New Roman" w:hAnsi="Times New Roman" w:cs="Times New Roman"/>
          <w:sz w:val="24"/>
          <w:szCs w:val="24"/>
          <w:lang w:val="hy-AM"/>
        </w:rPr>
        <w:t>м максимальный показатель WACC Б</w:t>
      </w:r>
      <w:r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анк зафиксировал в 2023 году (10%), когда он выплатил дивиденды в размере 23 млрд драмов. </w:t>
      </w:r>
      <w:r w:rsidR="00BE34B1" w:rsidRPr="00F9264B">
        <w:rPr>
          <w:rFonts w:ascii="Times New Roman" w:hAnsi="Times New Roman" w:cs="Times New Roman"/>
          <w:sz w:val="24"/>
          <w:szCs w:val="24"/>
          <w:lang w:val="ru-RU"/>
        </w:rPr>
        <w:t>Э</w:t>
      </w:r>
      <w:r w:rsidR="00BE34B1"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то означает, что </w:t>
      </w:r>
      <w:r w:rsidR="00F9264B" w:rsidRPr="00F9264B">
        <w:rPr>
          <w:rFonts w:ascii="Times New Roman" w:hAnsi="Times New Roman" w:cs="Times New Roman"/>
          <w:sz w:val="24"/>
          <w:szCs w:val="24"/>
          <w:lang w:val="ru-RU"/>
        </w:rPr>
        <w:t xml:space="preserve">при </w:t>
      </w:r>
      <w:r w:rsidR="00F66F86" w:rsidRPr="00BE34B1">
        <w:rPr>
          <w:rFonts w:ascii="Times New Roman" w:hAnsi="Times New Roman" w:cs="Times New Roman"/>
          <w:sz w:val="24"/>
          <w:szCs w:val="24"/>
        </w:rPr>
        <w:t>WACC</w:t>
      </w:r>
      <w:r w:rsidR="00E02067" w:rsidRPr="00F9264B">
        <w:rPr>
          <w:rFonts w:ascii="Times New Roman" w:hAnsi="Times New Roman" w:cs="Times New Roman"/>
          <w:sz w:val="24"/>
          <w:szCs w:val="24"/>
          <w:lang w:val="ru-RU"/>
        </w:rPr>
        <w:t>=</w:t>
      </w:r>
      <w:r w:rsidR="00F66F86" w:rsidRPr="00F9264B">
        <w:rPr>
          <w:rFonts w:ascii="Times New Roman" w:hAnsi="Times New Roman" w:cs="Times New Roman"/>
          <w:sz w:val="24"/>
          <w:szCs w:val="24"/>
          <w:lang w:val="ru-RU"/>
        </w:rPr>
        <w:t xml:space="preserve">8%, </w:t>
      </w:r>
      <w:r w:rsidR="00132901">
        <w:rPr>
          <w:rFonts w:ascii="Times New Roman" w:hAnsi="Times New Roman" w:cs="Times New Roman"/>
          <w:sz w:val="24"/>
          <w:szCs w:val="24"/>
          <w:lang w:val="ru-RU"/>
        </w:rPr>
        <w:t>Б</w:t>
      </w:r>
      <w:r w:rsidR="00E02067" w:rsidRPr="00F9264B">
        <w:rPr>
          <w:rFonts w:ascii="Times New Roman" w:hAnsi="Times New Roman" w:cs="Times New Roman"/>
          <w:sz w:val="24"/>
          <w:szCs w:val="24"/>
          <w:lang w:val="ru-RU"/>
        </w:rPr>
        <w:t>анк</w:t>
      </w:r>
      <w:r w:rsidR="00F66F86" w:rsidRPr="00F9264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9264B" w:rsidRPr="00F9264B">
        <w:rPr>
          <w:rFonts w:ascii="Times New Roman" w:hAnsi="Times New Roman" w:cs="Times New Roman"/>
          <w:sz w:val="24"/>
          <w:szCs w:val="24"/>
          <w:lang w:val="ru-RU"/>
        </w:rPr>
        <w:t xml:space="preserve">в среднем </w:t>
      </w:r>
      <w:r w:rsidR="00F66F86" w:rsidRPr="00F9264B">
        <w:rPr>
          <w:rFonts w:ascii="Times New Roman" w:hAnsi="Times New Roman" w:cs="Times New Roman"/>
          <w:sz w:val="24"/>
          <w:szCs w:val="24"/>
          <w:lang w:val="ru-RU"/>
        </w:rPr>
        <w:t>долж</w:t>
      </w:r>
      <w:r w:rsidR="00E02067" w:rsidRPr="00F9264B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F66F86" w:rsidRPr="00F9264B">
        <w:rPr>
          <w:rFonts w:ascii="Times New Roman" w:hAnsi="Times New Roman" w:cs="Times New Roman"/>
          <w:sz w:val="24"/>
          <w:szCs w:val="24"/>
          <w:lang w:val="ru-RU"/>
        </w:rPr>
        <w:t xml:space="preserve">н выплачивать своим инвесторам доходность в размере 8% с каждого драма вложенного капитала. </w:t>
      </w:r>
      <w:r w:rsidR="00E44EA9"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Другими словами, если WACC=8%, это означает, что для роста </w:t>
      </w:r>
      <w:r w:rsidR="00AD2340">
        <w:rPr>
          <w:rFonts w:ascii="Times New Roman" w:hAnsi="Times New Roman" w:cs="Times New Roman"/>
          <w:sz w:val="24"/>
          <w:szCs w:val="24"/>
          <w:lang w:val="hy-AM"/>
        </w:rPr>
        <w:t>Б</w:t>
      </w:r>
      <w:r w:rsidR="00F9264B" w:rsidRPr="00F9264B">
        <w:rPr>
          <w:rFonts w:ascii="Times New Roman" w:hAnsi="Times New Roman" w:cs="Times New Roman"/>
          <w:sz w:val="24"/>
          <w:szCs w:val="24"/>
          <w:lang w:val="ru-RU"/>
        </w:rPr>
        <w:t>анк</w:t>
      </w:r>
      <w:r w:rsidR="00F9264B">
        <w:rPr>
          <w:rFonts w:ascii="Times New Roman" w:hAnsi="Times New Roman" w:cs="Times New Roman"/>
          <w:sz w:val="24"/>
          <w:szCs w:val="24"/>
          <w:lang w:val="hy-AM"/>
        </w:rPr>
        <w:t xml:space="preserve"> долж</w:t>
      </w:r>
      <w:r w:rsidR="00F9264B" w:rsidRPr="00F9264B">
        <w:rPr>
          <w:rFonts w:ascii="Times New Roman" w:hAnsi="Times New Roman" w:cs="Times New Roman"/>
          <w:sz w:val="24"/>
          <w:szCs w:val="24"/>
          <w:lang w:val="ru-RU"/>
        </w:rPr>
        <w:t>ен</w:t>
      </w:r>
      <w:r w:rsidR="00E44EA9"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 делать инвестиции, которые дают</w:t>
      </w:r>
      <w:r w:rsidR="00897D95" w:rsidRPr="00897D95">
        <w:rPr>
          <w:rFonts w:ascii="Times New Roman" w:hAnsi="Times New Roman" w:cs="Times New Roman"/>
          <w:sz w:val="24"/>
          <w:szCs w:val="24"/>
          <w:lang w:val="hy-AM"/>
        </w:rPr>
        <w:t xml:space="preserve"> </w:t>
      </w:r>
      <w:r w:rsidR="00897D95">
        <w:rPr>
          <w:rFonts w:ascii="Times New Roman" w:hAnsi="Times New Roman" w:cs="Times New Roman"/>
          <w:sz w:val="24"/>
          <w:szCs w:val="24"/>
          <w:lang w:val="hy-AM"/>
        </w:rPr>
        <w:t>доходность больше</w:t>
      </w:r>
      <w:r w:rsidR="00897D95" w:rsidRPr="00BE34B1">
        <w:rPr>
          <w:rFonts w:ascii="Times New Roman" w:hAnsi="Times New Roman" w:cs="Times New Roman"/>
          <w:sz w:val="24"/>
          <w:szCs w:val="24"/>
          <w:lang w:val="hy-AM"/>
        </w:rPr>
        <w:t xml:space="preserve"> 8%</w:t>
      </w:r>
      <w:r w:rsidR="00E44EA9" w:rsidRPr="00BE34B1">
        <w:rPr>
          <w:rFonts w:ascii="Times New Roman" w:hAnsi="Times New Roman" w:cs="Times New Roman"/>
          <w:sz w:val="24"/>
          <w:szCs w:val="24"/>
          <w:lang w:val="hy-AM"/>
        </w:rPr>
        <w:t>.</w:t>
      </w:r>
      <w:r w:rsidR="002B0452" w:rsidRPr="002B0452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Из данных графика 2 видно, что </w:t>
      </w:r>
      <w:r w:rsidR="00430BA3" w:rsidRPr="006459E3">
        <w:rPr>
          <w:rFonts w:ascii="Times New Roman" w:hAnsi="Times New Roman" w:cs="Times New Roman"/>
          <w:sz w:val="24"/>
          <w:szCs w:val="24"/>
          <w:lang w:val="ru-RU"/>
        </w:rPr>
        <w:t>ROE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C2EA1">
        <w:rPr>
          <w:rFonts w:ascii="Times New Roman" w:hAnsi="Times New Roman" w:cs="Times New Roman"/>
          <w:sz w:val="24"/>
          <w:szCs w:val="24"/>
          <w:lang w:val="ru-RU"/>
        </w:rPr>
        <w:t>ЗАО “Америабанк”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за все годы (кроме 2014 года) превышала 8%. </w:t>
      </w:r>
      <w:r w:rsidR="00430BA3" w:rsidRPr="004B1CEE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>олучает</w:t>
      </w:r>
      <w:r w:rsidR="00132901">
        <w:rPr>
          <w:rFonts w:ascii="Times New Roman" w:hAnsi="Times New Roman" w:cs="Times New Roman"/>
          <w:sz w:val="24"/>
          <w:szCs w:val="24"/>
          <w:lang w:val="ru-RU"/>
        </w:rPr>
        <w:t>ся, что Б</w:t>
      </w:r>
      <w:r w:rsidR="0093524D">
        <w:rPr>
          <w:rFonts w:ascii="Times New Roman" w:hAnsi="Times New Roman" w:cs="Times New Roman"/>
          <w:sz w:val="24"/>
          <w:szCs w:val="24"/>
          <w:lang w:val="ru-RU"/>
        </w:rPr>
        <w:t>анк не только обеспеч</w:t>
      </w:r>
      <w:r w:rsidR="00F44CCF">
        <w:rPr>
          <w:rFonts w:ascii="Times New Roman" w:hAnsi="Times New Roman" w:cs="Times New Roman"/>
          <w:sz w:val="24"/>
          <w:szCs w:val="24"/>
          <w:lang w:val="hy-AM"/>
        </w:rPr>
        <w:t>и</w:t>
      </w:r>
      <w:r w:rsidR="0093524D">
        <w:rPr>
          <w:rFonts w:ascii="Times New Roman" w:hAnsi="Times New Roman" w:cs="Times New Roman"/>
          <w:sz w:val="24"/>
          <w:szCs w:val="24"/>
          <w:lang w:val="hy-AM"/>
        </w:rPr>
        <w:t>вает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оку</w:t>
      </w:r>
      <w:r w:rsidR="0093524D">
        <w:rPr>
          <w:rFonts w:ascii="Times New Roman" w:hAnsi="Times New Roman" w:cs="Times New Roman"/>
          <w:sz w:val="24"/>
          <w:szCs w:val="24"/>
          <w:lang w:val="ru-RU"/>
        </w:rPr>
        <w:t>паемость всех инвестиций, но и генерир</w:t>
      </w:r>
      <w:r w:rsidR="0093524D">
        <w:rPr>
          <w:rFonts w:ascii="Times New Roman" w:hAnsi="Times New Roman" w:cs="Times New Roman"/>
          <w:sz w:val="24"/>
          <w:szCs w:val="24"/>
          <w:lang w:val="hy-AM"/>
        </w:rPr>
        <w:t>ует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результат, который в дальнейшем может быть использован либо в качестве и</w:t>
      </w:r>
      <w:r w:rsidR="00132901">
        <w:rPr>
          <w:rFonts w:ascii="Times New Roman" w:hAnsi="Times New Roman" w:cs="Times New Roman"/>
          <w:sz w:val="24"/>
          <w:szCs w:val="24"/>
          <w:lang w:val="ru-RU"/>
        </w:rPr>
        <w:t>нструмента увеличения Гудвилла Б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анка, либо в качестве бонуса сотрудникам и менеджерам, которые способствовали созданию добавленной стоимости банка. </w:t>
      </w:r>
      <w:r w:rsidR="00430BA3" w:rsidRPr="006459E3">
        <w:rPr>
          <w:rFonts w:ascii="Times New Roman" w:hAnsi="Times New Roman" w:cs="Times New Roman"/>
          <w:sz w:val="24"/>
          <w:szCs w:val="24"/>
          <w:lang w:val="ru-RU"/>
        </w:rPr>
        <w:t>Это еще раз доказывает, что владель</w:t>
      </w:r>
      <w:r w:rsidR="00132901">
        <w:rPr>
          <w:rFonts w:ascii="Times New Roman" w:hAnsi="Times New Roman" w:cs="Times New Roman"/>
          <w:sz w:val="24"/>
          <w:szCs w:val="24"/>
          <w:lang w:val="ru-RU"/>
        </w:rPr>
        <w:t>цы Б</w:t>
      </w:r>
      <w:r w:rsidR="00430BA3" w:rsidRPr="006459E3">
        <w:rPr>
          <w:rFonts w:ascii="Times New Roman" w:hAnsi="Times New Roman" w:cs="Times New Roman"/>
          <w:sz w:val="24"/>
          <w:szCs w:val="24"/>
          <w:lang w:val="ru-RU"/>
        </w:rPr>
        <w:t>анка рассчитывают на перспективное развитие банка</w:t>
      </w:r>
      <w:r w:rsidR="000A2F6A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0A2F6A" w:rsidRPr="00D42232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4A1324">
        <w:rPr>
          <w:rFonts w:ascii="Times New Roman" w:hAnsi="Times New Roman" w:cs="Times New Roman"/>
          <w:sz w:val="24"/>
          <w:szCs w:val="24"/>
          <w:lang w:val="ru-RU"/>
        </w:rPr>
        <w:t>остр</w:t>
      </w:r>
      <w:r w:rsidR="004A1324">
        <w:rPr>
          <w:rFonts w:ascii="Times New Roman" w:hAnsi="Times New Roman" w:cs="Times New Roman"/>
          <w:sz w:val="24"/>
          <w:szCs w:val="24"/>
          <w:lang w:val="hy-AM"/>
        </w:rPr>
        <w:t>оенная</w:t>
      </w:r>
      <w:r w:rsidR="004A1324">
        <w:rPr>
          <w:rFonts w:ascii="Times New Roman" w:hAnsi="Times New Roman" w:cs="Times New Roman"/>
          <w:sz w:val="24"/>
          <w:szCs w:val="24"/>
          <w:lang w:val="ru-RU"/>
        </w:rPr>
        <w:t xml:space="preserve"> полиномиальн</w:t>
      </w:r>
      <w:r w:rsidR="004A1324">
        <w:rPr>
          <w:rFonts w:ascii="Times New Roman" w:hAnsi="Times New Roman" w:cs="Times New Roman"/>
          <w:sz w:val="24"/>
          <w:szCs w:val="24"/>
          <w:lang w:val="hy-AM"/>
        </w:rPr>
        <w:t>ая</w:t>
      </w:r>
      <w:r w:rsidR="004A1324">
        <w:rPr>
          <w:rFonts w:ascii="Times New Roman" w:hAnsi="Times New Roman" w:cs="Times New Roman"/>
          <w:sz w:val="24"/>
          <w:szCs w:val="24"/>
          <w:lang w:val="ru-RU"/>
        </w:rPr>
        <w:t xml:space="preserve"> лини</w:t>
      </w:r>
      <w:r w:rsidR="004A1324">
        <w:rPr>
          <w:rFonts w:ascii="Times New Roman" w:hAnsi="Times New Roman" w:cs="Times New Roman"/>
          <w:sz w:val="24"/>
          <w:szCs w:val="24"/>
          <w:lang w:val="hy-AM"/>
        </w:rPr>
        <w:t>я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тренда в прогнозе EVA</w:t>
      </w:r>
      <w:r w:rsidR="004A1324">
        <w:rPr>
          <w:rFonts w:ascii="Times New Roman" w:hAnsi="Times New Roman" w:cs="Times New Roman"/>
          <w:sz w:val="24"/>
          <w:szCs w:val="24"/>
          <w:lang w:val="hy-AM"/>
        </w:rPr>
        <w:t xml:space="preserve"> показывает</w:t>
      </w:r>
      <w:r w:rsidR="00132901">
        <w:rPr>
          <w:rFonts w:ascii="Times New Roman" w:hAnsi="Times New Roman" w:cs="Times New Roman"/>
          <w:sz w:val="24"/>
          <w:szCs w:val="24"/>
          <w:lang w:val="ru-RU"/>
        </w:rPr>
        <w:t>, что Б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анк </w:t>
      </w:r>
      <w:r w:rsidR="006459E3" w:rsidRPr="006459E3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>может предсказать будущую добавленную стоимость и возможную сумму выплаты бонусов с точностью</w:t>
      </w:r>
      <w:r w:rsidR="006459E3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до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94,86% </w:t>
      </w:r>
      <w:r w:rsidR="00647011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[</w:t>
      </w:r>
      <w:r w:rsidR="00FE2225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3</w:t>
      </w:r>
      <w:r w:rsidR="00647011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 xml:space="preserve">, с. </w:t>
      </w:r>
      <w:r w:rsidR="00FE2225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8</w:t>
      </w:r>
      <w:r w:rsidR="00647011"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  <w:t>]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>. Использу</w:t>
      </w:r>
      <w:r w:rsidR="004A1324">
        <w:rPr>
          <w:rFonts w:ascii="Times New Roman" w:hAnsi="Times New Roman" w:cs="Times New Roman"/>
          <w:sz w:val="24"/>
          <w:szCs w:val="24"/>
          <w:lang w:val="ru-RU"/>
        </w:rPr>
        <w:t xml:space="preserve">я уравнение, представленное на </w:t>
      </w:r>
      <w:r w:rsidR="004A1324">
        <w:rPr>
          <w:rFonts w:ascii="Times New Roman" w:hAnsi="Times New Roman" w:cs="Times New Roman"/>
          <w:sz w:val="24"/>
          <w:szCs w:val="24"/>
          <w:lang w:val="hy-AM"/>
        </w:rPr>
        <w:t>Г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>рафике</w:t>
      </w:r>
      <w:r w:rsidR="004A1324">
        <w:rPr>
          <w:rFonts w:ascii="Times New Roman" w:hAnsi="Times New Roman" w:cs="Times New Roman"/>
          <w:sz w:val="24"/>
          <w:szCs w:val="24"/>
          <w:lang w:val="hy-AM"/>
        </w:rPr>
        <w:t xml:space="preserve"> 5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F43E1C">
        <w:rPr>
          <w:rFonts w:ascii="Times New Roman" w:hAnsi="Times New Roman" w:cs="Times New Roman"/>
          <w:sz w:val="24"/>
          <w:szCs w:val="24"/>
          <w:lang w:val="ru-RU"/>
        </w:rPr>
        <w:t>мож</w:t>
      </w:r>
      <w:r w:rsidR="00F43E1C">
        <w:rPr>
          <w:rFonts w:ascii="Times New Roman" w:hAnsi="Times New Roman" w:cs="Times New Roman"/>
          <w:sz w:val="24"/>
          <w:szCs w:val="24"/>
          <w:lang w:val="hy-AM"/>
        </w:rPr>
        <w:t>но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предсказать возможный резуль</w:t>
      </w:r>
      <w:r w:rsidR="00F43E1C">
        <w:rPr>
          <w:rFonts w:ascii="Times New Roman" w:hAnsi="Times New Roman" w:cs="Times New Roman"/>
          <w:sz w:val="24"/>
          <w:szCs w:val="24"/>
          <w:lang w:val="ru-RU"/>
        </w:rPr>
        <w:t>тат 2025 года, который составит</w:t>
      </w:r>
      <w:r w:rsidR="00F9264B" w:rsidRPr="006459E3">
        <w:rPr>
          <w:rFonts w:ascii="Times New Roman" w:hAnsi="Times New Roman" w:cs="Times New Roman"/>
          <w:sz w:val="24"/>
          <w:szCs w:val="24"/>
          <w:lang w:val="ru-RU"/>
        </w:rPr>
        <w:t xml:space="preserve"> 33,9 млрд драмов РА, что примерно на 8% больше, чем результат предыдущего года</w:t>
      </w:r>
      <w:r w:rsidR="006459E3" w:rsidRPr="006459E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A2F6A" w:rsidRDefault="00D42232" w:rsidP="00D979B0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42232">
        <w:rPr>
          <w:rFonts w:ascii="Times New Roman" w:hAnsi="Times New Roman" w:cs="Times New Roman"/>
          <w:sz w:val="24"/>
          <w:szCs w:val="24"/>
          <w:lang w:val="ru-RU"/>
        </w:rPr>
        <w:t>Таким образом, показатель EVA позволяет получить предста</w:t>
      </w:r>
      <w:r w:rsidR="00132901">
        <w:rPr>
          <w:rFonts w:ascii="Times New Roman" w:hAnsi="Times New Roman" w:cs="Times New Roman"/>
          <w:sz w:val="24"/>
          <w:szCs w:val="24"/>
          <w:lang w:val="ru-RU"/>
        </w:rPr>
        <w:t>вление о реальной прибыльности Б</w:t>
      </w:r>
      <w:r w:rsidRPr="00D42232">
        <w:rPr>
          <w:rFonts w:ascii="Times New Roman" w:hAnsi="Times New Roman" w:cs="Times New Roman"/>
          <w:sz w:val="24"/>
          <w:szCs w:val="24"/>
          <w:lang w:val="ru-RU"/>
        </w:rPr>
        <w:t xml:space="preserve">анка, эффективности его деятельности, потенциале создания добавленной стоимости и создания систем </w:t>
      </w:r>
      <w:r w:rsidRPr="004B1CEE">
        <w:rPr>
          <w:rFonts w:ascii="Times New Roman" w:hAnsi="Times New Roman" w:cs="Times New Roman"/>
          <w:sz w:val="24"/>
          <w:szCs w:val="24"/>
          <w:lang w:val="ru-RU"/>
        </w:rPr>
        <w:t>поощрения</w:t>
      </w:r>
      <w:r w:rsidR="008B1C88">
        <w:rPr>
          <w:rFonts w:ascii="Times New Roman" w:hAnsi="Times New Roman" w:cs="Times New Roman"/>
          <w:sz w:val="24"/>
          <w:szCs w:val="24"/>
          <w:lang w:val="hy-AM"/>
        </w:rPr>
        <w:t xml:space="preserve"> сотрудников</w:t>
      </w:r>
      <w:r w:rsidRPr="00D42232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606E4" w:rsidRDefault="00B606E4" w:rsidP="00D979B0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606E4" w:rsidRDefault="00B606E4" w:rsidP="00D979B0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351BD">
        <w:rPr>
          <w:rFonts w:ascii="Times New Roman" w:hAnsi="Times New Roman" w:cs="Times New Roman"/>
          <w:b/>
          <w:sz w:val="24"/>
          <w:szCs w:val="24"/>
          <w:lang w:val="ru-RU"/>
        </w:rPr>
        <w:t>Список использованной литературы</w:t>
      </w:r>
      <w:r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5F3E6B" w:rsidRPr="00137AE7" w:rsidRDefault="00A04733" w:rsidP="00A04733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1276" w:hanging="567"/>
        <w:contextualSpacing/>
        <w:jc w:val="both"/>
        <w:textAlignment w:val="baseline"/>
      </w:pPr>
      <w:r w:rsidRPr="00A04733">
        <w:rPr>
          <w:szCs w:val="28"/>
          <w:lang w:val="hy-AM"/>
        </w:rPr>
        <w:t xml:space="preserve">ЗАО “Америабанк”, годовые отчеты с 2014 по 2024 г., </w:t>
      </w:r>
      <w:r w:rsidR="00137AE7">
        <w:rPr>
          <w:szCs w:val="28"/>
          <w:lang w:val="hy-AM"/>
        </w:rPr>
        <w:fldChar w:fldCharType="begin"/>
      </w:r>
      <w:r w:rsidR="00137AE7">
        <w:rPr>
          <w:szCs w:val="28"/>
          <w:lang w:val="hy-AM"/>
        </w:rPr>
        <w:instrText xml:space="preserve"> HYPERLINK "</w:instrText>
      </w:r>
      <w:r w:rsidR="00137AE7" w:rsidRPr="00A04733">
        <w:rPr>
          <w:szCs w:val="28"/>
          <w:lang w:val="hy-AM"/>
        </w:rPr>
        <w:instrText>https://ameriabank.am/ru/</w:instrText>
      </w:r>
      <w:r w:rsidR="00137AE7">
        <w:rPr>
          <w:szCs w:val="28"/>
          <w:lang w:val="hy-AM"/>
        </w:rPr>
        <w:instrText xml:space="preserve">" </w:instrText>
      </w:r>
      <w:r w:rsidR="00137AE7">
        <w:rPr>
          <w:szCs w:val="28"/>
          <w:lang w:val="hy-AM"/>
        </w:rPr>
        <w:fldChar w:fldCharType="separate"/>
      </w:r>
      <w:r w:rsidR="00137AE7" w:rsidRPr="00F22F0A">
        <w:rPr>
          <w:rStyle w:val="Hyperlink"/>
          <w:szCs w:val="28"/>
          <w:lang w:val="hy-AM"/>
        </w:rPr>
        <w:t>https://ameriabank.am/ru/</w:t>
      </w:r>
      <w:r w:rsidR="00137AE7">
        <w:rPr>
          <w:szCs w:val="28"/>
          <w:lang w:val="hy-AM"/>
        </w:rPr>
        <w:fldChar w:fldCharType="end"/>
      </w:r>
    </w:p>
    <w:p w:rsidR="00795A5C" w:rsidRDefault="00795A5C" w:rsidP="00795A5C">
      <w:pPr>
        <w:pStyle w:val="NormalWeb"/>
        <w:shd w:val="clear" w:color="auto" w:fill="FFFFFF"/>
        <w:spacing w:before="0" w:beforeAutospacing="0" w:after="0" w:afterAutospacing="0"/>
        <w:contextualSpacing/>
        <w:jc w:val="both"/>
        <w:textAlignment w:val="baseline"/>
        <w:rPr>
          <w:szCs w:val="28"/>
          <w:lang w:val="hy-AM"/>
        </w:rPr>
      </w:pPr>
    </w:p>
    <w:p w:rsidR="00BD1D6F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Арутюнян Гаяне Юрьевна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5314ED">
        <w:rPr>
          <w:rFonts w:ascii="Times New Roman" w:hAnsi="Times New Roman" w:cs="Times New Roman"/>
          <w:b/>
          <w:sz w:val="24"/>
          <w:szCs w:val="24"/>
          <w:lang w:val="ru-RU"/>
        </w:rPr>
        <w:t>(Армения, Ереван)</w:t>
      </w:r>
    </w:p>
    <w:p w:rsidR="00BD1D6F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13" w:history="1">
        <w:r w:rsidRPr="00245B0F">
          <w:rPr>
            <w:rStyle w:val="Hyperlink"/>
            <w:rFonts w:ascii="Times New Roman" w:hAnsi="Times New Roman" w:cs="Times New Roman"/>
            <w:b/>
            <w:sz w:val="24"/>
            <w:szCs w:val="24"/>
            <w:lang w:val="hy-AM"/>
          </w:rPr>
          <w:t>gayane.harutyunyan@asue.am</w:t>
        </w:r>
      </w:hyperlink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</w:p>
    <w:p w:rsidR="00BD1D6F" w:rsidRPr="00A347AA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к.э.н., доцент кафедры </w:t>
      </w:r>
      <w:r w:rsidRPr="00A347AA">
        <w:rPr>
          <w:rFonts w:ascii="Times New Roman" w:hAnsi="Times New Roman" w:cs="Times New Roman"/>
          <w:b/>
          <w:sz w:val="24"/>
          <w:szCs w:val="24"/>
          <w:lang w:val="ru-RU"/>
        </w:rPr>
        <w:t>“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Финансовые рынки и институты</w:t>
      </w:r>
      <w:r w:rsidRPr="00A347AA">
        <w:rPr>
          <w:rFonts w:ascii="Times New Roman" w:hAnsi="Times New Roman" w:cs="Times New Roman"/>
          <w:b/>
          <w:sz w:val="24"/>
          <w:szCs w:val="24"/>
          <w:lang w:val="ru-RU"/>
        </w:rPr>
        <w:t>”</w:t>
      </w:r>
    </w:p>
    <w:p w:rsidR="00BD1D6F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hy-AM"/>
        </w:rPr>
        <w:t>Факультет Прикладных Финансов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</w:p>
    <w:p w:rsidR="00BD1D6F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Армянский Государственный Экономический Университет</w:t>
      </w:r>
      <w:r w:rsidRPr="00245B0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BD1D6F" w:rsidRPr="008671E8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14" w:history="1">
        <w:r w:rsidRPr="00245B0F">
          <w:rPr>
            <w:rFonts w:ascii="Times New Roman" w:hAnsi="Times New Roman" w:cs="Times New Roman"/>
            <w:b/>
            <w:sz w:val="24"/>
            <w:szCs w:val="24"/>
            <w:lang w:val="hy-AM"/>
          </w:rPr>
          <w:t>info@asue.am</w:t>
        </w:r>
      </w:hyperlink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, 0025, (+37410) 52 17 20</w:t>
      </w:r>
    </w:p>
    <w:p w:rsidR="00BD1D6F" w:rsidRPr="008671E8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D6F" w:rsidRPr="008671E8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671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Атанян Аида Араратовна </w:t>
      </w:r>
      <w:r w:rsidR="005314ED">
        <w:rPr>
          <w:rFonts w:ascii="Times New Roman" w:hAnsi="Times New Roman" w:cs="Times New Roman"/>
          <w:b/>
          <w:sz w:val="24"/>
          <w:szCs w:val="24"/>
          <w:lang w:val="ru-RU"/>
        </w:rPr>
        <w:t>(Армения, Ереван)</w:t>
      </w:r>
    </w:p>
    <w:p w:rsidR="00BD1D6F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hyperlink r:id="rId15" w:history="1">
        <w:r w:rsidRPr="001F0359">
          <w:rPr>
            <w:rStyle w:val="Hyperlink"/>
            <w:rFonts w:ascii="Times New Roman" w:hAnsi="Times New Roman" w:cs="Times New Roman"/>
            <w:b/>
            <w:sz w:val="24"/>
            <w:szCs w:val="24"/>
            <w:lang w:val="hy-AM"/>
          </w:rPr>
          <w:t>aida.atanyan@asue.am</w:t>
        </w:r>
      </w:hyperlink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</w:p>
    <w:p w:rsidR="00BD1D6F" w:rsidRPr="00A347AA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hy-AM"/>
        </w:rPr>
        <w:t>Преподаватель</w:t>
      </w:r>
      <w:r w:rsidRPr="00EF3A10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  <w:hyperlink r:id="rId16" w:history="1">
        <w:r w:rsidRPr="00EF3A10">
          <w:rPr>
            <w:rFonts w:ascii="Times New Roman" w:hAnsi="Times New Roman" w:cs="Times New Roman"/>
            <w:b/>
            <w:sz w:val="24"/>
            <w:szCs w:val="24"/>
            <w:lang w:val="hy-AM"/>
          </w:rPr>
          <w:t>кафедры</w:t>
        </w:r>
        <w:r>
          <w:rPr>
            <w:rFonts w:ascii="Times New Roman" w:hAnsi="Times New Roman" w:cs="Times New Roman"/>
            <w:b/>
            <w:sz w:val="24"/>
            <w:szCs w:val="24"/>
            <w:lang w:val="hy-AM"/>
          </w:rPr>
          <w:t xml:space="preserve"> </w:t>
        </w:r>
        <w:r w:rsidRPr="00A347AA">
          <w:rPr>
            <w:rFonts w:ascii="Times New Roman" w:hAnsi="Times New Roman" w:cs="Times New Roman"/>
            <w:b/>
            <w:sz w:val="24"/>
            <w:szCs w:val="24"/>
            <w:lang w:val="ru-RU"/>
          </w:rPr>
          <w:t>“И</w:t>
        </w:r>
        <w:r>
          <w:rPr>
            <w:rFonts w:ascii="Times New Roman" w:hAnsi="Times New Roman" w:cs="Times New Roman"/>
            <w:b/>
            <w:sz w:val="24"/>
            <w:szCs w:val="24"/>
            <w:lang w:val="hy-AM"/>
          </w:rPr>
          <w:t>нформационны</w:t>
        </w:r>
        <w:r w:rsidRPr="00A347AA">
          <w:rPr>
            <w:rFonts w:ascii="Times New Roman" w:hAnsi="Times New Roman" w:cs="Times New Roman"/>
            <w:b/>
            <w:sz w:val="24"/>
            <w:szCs w:val="24"/>
            <w:lang w:val="ru-RU"/>
          </w:rPr>
          <w:t>е</w:t>
        </w:r>
        <w:r w:rsidRPr="00EF3A10">
          <w:rPr>
            <w:rFonts w:ascii="Times New Roman" w:hAnsi="Times New Roman" w:cs="Times New Roman"/>
            <w:b/>
            <w:sz w:val="24"/>
            <w:szCs w:val="24"/>
            <w:lang w:val="hy-AM"/>
          </w:rPr>
          <w:t xml:space="preserve"> систем</w:t>
        </w:r>
        <w:r w:rsidRPr="00A347AA">
          <w:rPr>
            <w:rFonts w:ascii="Times New Roman" w:hAnsi="Times New Roman" w:cs="Times New Roman"/>
            <w:b/>
            <w:sz w:val="24"/>
            <w:szCs w:val="24"/>
            <w:lang w:val="ru-RU"/>
          </w:rPr>
          <w:t>ы</w:t>
        </w:r>
        <w:r>
          <w:rPr>
            <w:rFonts w:ascii="Times New Roman" w:hAnsi="Times New Roman" w:cs="Times New Roman"/>
            <w:b/>
            <w:sz w:val="24"/>
            <w:szCs w:val="24"/>
            <w:lang w:val="hy-AM"/>
          </w:rPr>
          <w:t xml:space="preserve"> и информационны</w:t>
        </w:r>
        <w:r w:rsidRPr="00A347AA">
          <w:rPr>
            <w:rFonts w:ascii="Times New Roman" w:hAnsi="Times New Roman" w:cs="Times New Roman"/>
            <w:b/>
            <w:sz w:val="24"/>
            <w:szCs w:val="24"/>
            <w:lang w:val="ru-RU"/>
          </w:rPr>
          <w:t>е</w:t>
        </w:r>
        <w:r>
          <w:rPr>
            <w:rFonts w:ascii="Times New Roman" w:hAnsi="Times New Roman" w:cs="Times New Roman"/>
            <w:b/>
            <w:sz w:val="24"/>
            <w:szCs w:val="24"/>
            <w:lang w:val="hy-AM"/>
          </w:rPr>
          <w:t xml:space="preserve"> технологи</w:t>
        </w:r>
        <w:r w:rsidRPr="00A347AA">
          <w:rPr>
            <w:rFonts w:ascii="Times New Roman" w:hAnsi="Times New Roman" w:cs="Times New Roman"/>
            <w:b/>
            <w:sz w:val="24"/>
            <w:szCs w:val="24"/>
            <w:lang w:val="ru-RU"/>
          </w:rPr>
          <w:t>и</w:t>
        </w:r>
        <w:r w:rsidRPr="00EF3A10">
          <w:rPr>
            <w:rFonts w:ascii="Times New Roman" w:hAnsi="Times New Roman" w:cs="Times New Roman"/>
            <w:b/>
            <w:sz w:val="24"/>
            <w:szCs w:val="24"/>
            <w:lang w:val="hy-AM"/>
          </w:rPr>
          <w:t xml:space="preserve"> бизнеса</w:t>
        </w:r>
      </w:hyperlink>
      <w:r w:rsidRPr="00A347AA">
        <w:rPr>
          <w:rFonts w:ascii="Times New Roman" w:hAnsi="Times New Roman" w:cs="Times New Roman"/>
          <w:b/>
          <w:sz w:val="24"/>
          <w:szCs w:val="24"/>
          <w:lang w:val="ru-RU"/>
        </w:rPr>
        <w:t>”</w:t>
      </w:r>
    </w:p>
    <w:p w:rsidR="00BD1D6F" w:rsidRPr="00EF3A10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r>
        <w:rPr>
          <w:rFonts w:ascii="Times New Roman" w:hAnsi="Times New Roman" w:cs="Times New Roman"/>
          <w:b/>
          <w:sz w:val="24"/>
          <w:szCs w:val="24"/>
          <w:lang w:val="hy-AM"/>
        </w:rPr>
        <w:t xml:space="preserve">Факультет </w:t>
      </w:r>
      <w:r w:rsidRPr="008671E8">
        <w:rPr>
          <w:rFonts w:ascii="Times New Roman" w:hAnsi="Times New Roman" w:cs="Times New Roman"/>
          <w:b/>
          <w:sz w:val="24"/>
          <w:szCs w:val="24"/>
          <w:lang w:val="ru-RU"/>
        </w:rPr>
        <w:t>И</w:t>
      </w:r>
      <w:r w:rsidRPr="00EF3A10">
        <w:rPr>
          <w:rFonts w:ascii="Times New Roman" w:hAnsi="Times New Roman" w:cs="Times New Roman"/>
          <w:b/>
          <w:sz w:val="24"/>
          <w:szCs w:val="24"/>
          <w:lang w:val="hy-AM"/>
        </w:rPr>
        <w:t>нформационных технологий и даталогии</w:t>
      </w:r>
    </w:p>
    <w:p w:rsidR="00BD1D6F" w:rsidRPr="00514350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Армянский Государственный Экономический Университет</w:t>
      </w:r>
      <w:r w:rsidRPr="0051435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BD1D6F" w:rsidRPr="008671E8" w:rsidRDefault="00BD1D6F" w:rsidP="00BD1D6F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17" w:history="1">
        <w:r w:rsidRPr="00245B0F">
          <w:rPr>
            <w:rFonts w:ascii="Times New Roman" w:hAnsi="Times New Roman" w:cs="Times New Roman"/>
            <w:b/>
            <w:sz w:val="24"/>
            <w:szCs w:val="24"/>
            <w:lang w:val="hy-AM"/>
          </w:rPr>
          <w:t>info@asue.am</w:t>
        </w:r>
      </w:hyperlink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, 0025, (+37410) 52 17 20</w:t>
      </w:r>
      <w:r w:rsidRPr="008671E8">
        <w:rPr>
          <w:rFonts w:ascii="Times New Roman" w:hAnsi="Times New Roman" w:cs="Times New Roman"/>
          <w:b/>
          <w:sz w:val="24"/>
          <w:szCs w:val="24"/>
          <w:lang w:val="ru-RU"/>
        </w:rPr>
        <w:t>)</w:t>
      </w:r>
    </w:p>
    <w:p w:rsidR="00BD1D6F" w:rsidRPr="008671E8" w:rsidRDefault="00BD1D6F" w:rsidP="00BD1D6F">
      <w:pPr>
        <w:spacing w:line="24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D1D6F" w:rsidRPr="00AE19A4" w:rsidRDefault="00BD1D6F" w:rsidP="00BD1D6F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lastRenderedPageBreak/>
        <w:t>Harutyunyan G</w:t>
      </w:r>
      <w:r w:rsidR="007641B3" w:rsidRPr="00AE19A4">
        <w:rPr>
          <w:rFonts w:ascii="Times New Roman" w:hAnsi="Times New Roman" w:cs="Times New Roman"/>
          <w:b/>
          <w:sz w:val="24"/>
          <w:szCs w:val="24"/>
        </w:rPr>
        <w:t>.</w:t>
      </w:r>
      <w:r w:rsidR="00AE19A4">
        <w:rPr>
          <w:rFonts w:ascii="Times New Roman" w:hAnsi="Times New Roman" w:cs="Times New Roman"/>
          <w:b/>
          <w:sz w:val="24"/>
          <w:szCs w:val="24"/>
        </w:rPr>
        <w:t>Yu.</w:t>
      </w:r>
    </w:p>
    <w:p w:rsidR="00BD1D6F" w:rsidRPr="00AE19A4" w:rsidRDefault="00BD1D6F" w:rsidP="00BD1D6F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14350">
        <w:rPr>
          <w:rFonts w:ascii="Times New Roman" w:hAnsi="Times New Roman" w:cs="Times New Roman"/>
          <w:b/>
          <w:sz w:val="24"/>
          <w:szCs w:val="24"/>
          <w:lang w:val="hy-AM"/>
        </w:rPr>
        <w:t>Atanyan A</w:t>
      </w:r>
      <w:r w:rsidR="007641B3" w:rsidRPr="00AE19A4">
        <w:rPr>
          <w:rFonts w:ascii="Times New Roman" w:hAnsi="Times New Roman" w:cs="Times New Roman"/>
          <w:b/>
          <w:sz w:val="24"/>
          <w:szCs w:val="24"/>
        </w:rPr>
        <w:t>.</w:t>
      </w:r>
      <w:r w:rsidR="00AE19A4">
        <w:rPr>
          <w:rFonts w:ascii="Times New Roman" w:hAnsi="Times New Roman" w:cs="Times New Roman"/>
          <w:b/>
          <w:sz w:val="24"/>
          <w:szCs w:val="24"/>
        </w:rPr>
        <w:t>A.</w:t>
      </w:r>
      <w:bookmarkStart w:id="0" w:name="_GoBack"/>
      <w:bookmarkEnd w:id="0"/>
    </w:p>
    <w:p w:rsidR="005B011E" w:rsidRDefault="005B011E" w:rsidP="005B011E">
      <w:pPr>
        <w:spacing w:line="240" w:lineRule="auto"/>
        <w:contextualSpacing/>
        <w:jc w:val="center"/>
        <w:rPr>
          <w:rStyle w:val="anegp0gi0b9av8jahpyh"/>
          <w:rFonts w:ascii="Times New Roman" w:hAnsi="Times New Roman" w:cs="Times New Roman"/>
          <w:b/>
          <w:sz w:val="24"/>
          <w:szCs w:val="24"/>
          <w:lang w:val="hy-AM"/>
        </w:rPr>
      </w:pP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BANKS’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EFFICIENCY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CALCULATION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IN THE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REPUBLIC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ARMENIA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BY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USING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THE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 xml:space="preserve">INDICATOR OF </w:t>
      </w:r>
      <w:r>
        <w:rPr>
          <w:rStyle w:val="anegp0gi0b9av8jahpyh"/>
          <w:rFonts w:ascii="Times New Roman" w:hAnsi="Times New Roman" w:cs="Times New Roman"/>
          <w:b/>
          <w:sz w:val="24"/>
          <w:szCs w:val="24"/>
          <w:lang w:val="hy-AM"/>
        </w:rPr>
        <w:t>ECONOMIC VALUE ADDED-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EVA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(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BY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THE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EXAMPLE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AMERIABANK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CJSC)</w:t>
      </w:r>
    </w:p>
    <w:p w:rsidR="005B011E" w:rsidRPr="004B1CEE" w:rsidRDefault="005B011E" w:rsidP="005B011E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Annotation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B011E" w:rsidRPr="005B011E" w:rsidRDefault="005B011E" w:rsidP="005B011E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hy-AM"/>
        </w:rPr>
      </w:pPr>
      <w:r w:rsidRPr="00AF2452">
        <w:rPr>
          <w:rStyle w:val="anegp0gi0b9av8jahpyh"/>
          <w:rFonts w:ascii="Times New Roman" w:hAnsi="Times New Roman" w:cs="Times New Roman"/>
          <w:sz w:val="24"/>
          <w:szCs w:val="24"/>
        </w:rPr>
        <w:t xml:space="preserve">The bank's effectiveness is assessed using many classical indicators. However, </w:t>
      </w:r>
      <w:r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  <w:t>they</w:t>
      </w:r>
      <w:r w:rsidRPr="00AF2452">
        <w:rPr>
          <w:rStyle w:val="anegp0gi0b9av8jahpyh"/>
          <w:rFonts w:ascii="Times New Roman" w:hAnsi="Times New Roman" w:cs="Times New Roman"/>
          <w:sz w:val="24"/>
          <w:szCs w:val="24"/>
        </w:rPr>
        <w:t xml:space="preserve"> do not give an idea of the bank's ability to create value added. The latter can be estimated using the EVA indicator.</w:t>
      </w:r>
      <w:r>
        <w:rPr>
          <w:rStyle w:val="anegp0gi0b9av8jahpyh"/>
          <w:rFonts w:ascii="Times New Roman" w:hAnsi="Times New Roman" w:cs="Times New Roman"/>
          <w:sz w:val="24"/>
          <w:szCs w:val="24"/>
        </w:rPr>
        <w:t xml:space="preserve"> We calculated EVA</w:t>
      </w:r>
      <w:r w:rsidRPr="00AF2452">
        <w:rPr>
          <w:rStyle w:val="anegp0gi0b9av8jahpyh"/>
          <w:rFonts w:ascii="Times New Roman" w:hAnsi="Times New Roman" w:cs="Times New Roman"/>
          <w:sz w:val="24"/>
          <w:szCs w:val="24"/>
        </w:rPr>
        <w:t xml:space="preserve"> using the example of a specific bank. For this purpose, ROE, ROA, NIM, Spread, NOPAT, WACC, CAPM and a number of other indicators were evaluated.</w:t>
      </w:r>
    </w:p>
    <w:p w:rsidR="005B011E" w:rsidRDefault="005B011E" w:rsidP="005B011E">
      <w:pPr>
        <w:spacing w:line="240" w:lineRule="auto"/>
        <w:ind w:firstLine="709"/>
        <w:contextualSpacing/>
        <w:jc w:val="both"/>
        <w:rPr>
          <w:rStyle w:val="anegp0gi0b9av8jahpyh"/>
          <w:rFonts w:ascii="Times New Roman" w:hAnsi="Times New Roman" w:cs="Times New Roman"/>
          <w:sz w:val="24"/>
          <w:szCs w:val="24"/>
          <w:lang w:val="hy-AM"/>
        </w:rPr>
      </w:pPr>
      <w:r w:rsidRPr="00245B0F">
        <w:rPr>
          <w:rStyle w:val="anegp0gi0b9av8jahpyh"/>
          <w:rFonts w:ascii="Times New Roman" w:hAnsi="Times New Roman" w:cs="Times New Roman"/>
          <w:b/>
          <w:sz w:val="24"/>
          <w:szCs w:val="24"/>
        </w:rPr>
        <w:t>Keywords: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Style w:val="anegp0gi0b9av8jahpyh"/>
          <w:rFonts w:ascii="Times New Roman" w:hAnsi="Times New Roman" w:cs="Times New Roman"/>
          <w:sz w:val="24"/>
          <w:szCs w:val="24"/>
        </w:rPr>
        <w:t>B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anks</w:t>
      </w:r>
      <w:r w:rsidRPr="00D979B0">
        <w:rPr>
          <w:rStyle w:val="anegp0gi0b9av8jahpyh"/>
          <w:rFonts w:ascii="Times New Roman" w:hAnsi="Times New Roman" w:cs="Times New Roman"/>
          <w:sz w:val="24"/>
          <w:szCs w:val="24"/>
        </w:rPr>
        <w:t xml:space="preserve">'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efficiency,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Economic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Value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Added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(EVA),</w:t>
      </w:r>
      <w:r w:rsidRPr="007A2318">
        <w:rPr>
          <w:rFonts w:ascii="Times New Roman" w:hAnsi="Times New Roman" w:cs="Times New Roman"/>
          <w:sz w:val="24"/>
          <w:szCs w:val="24"/>
        </w:rPr>
        <w:t xml:space="preserve"> Weighted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Average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Cost</w:t>
      </w:r>
      <w:r w:rsidRPr="007A2318">
        <w:rPr>
          <w:rFonts w:ascii="Times New Roman" w:hAnsi="Times New Roman" w:cs="Times New Roman"/>
          <w:sz w:val="24"/>
          <w:szCs w:val="24"/>
        </w:rPr>
        <w:t xml:space="preserve"> of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Capital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(WACC),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Capital Asset Pricing Model (CAPM),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Cost</w:t>
      </w:r>
      <w:r w:rsidRPr="007A2318">
        <w:rPr>
          <w:rFonts w:ascii="Times New Roman" w:hAnsi="Times New Roman" w:cs="Times New Roman"/>
          <w:sz w:val="24"/>
          <w:szCs w:val="24"/>
        </w:rPr>
        <w:t xml:space="preserve"> of I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nvestment</w:t>
      </w:r>
      <w:r w:rsidRPr="007A2318">
        <w:rPr>
          <w:rFonts w:ascii="Times New Roman" w:hAnsi="Times New Roman" w:cs="Times New Roman"/>
          <w:sz w:val="24"/>
          <w:szCs w:val="24"/>
        </w:rPr>
        <w:t xml:space="preserve"> </w:t>
      </w:r>
      <w:r w:rsidRPr="007A2318">
        <w:rPr>
          <w:rStyle w:val="anegp0gi0b9av8jahpyh"/>
          <w:rFonts w:ascii="Times New Roman" w:hAnsi="Times New Roman" w:cs="Times New Roman"/>
          <w:sz w:val="24"/>
          <w:szCs w:val="24"/>
        </w:rPr>
        <w:t>Capital, Cost of Debt</w:t>
      </w:r>
    </w:p>
    <w:p w:rsidR="005B011E" w:rsidRPr="003F0646" w:rsidRDefault="005B011E" w:rsidP="003F0646">
      <w:pPr>
        <w:spacing w:line="240" w:lineRule="auto"/>
        <w:contextualSpacing/>
        <w:jc w:val="both"/>
        <w:rPr>
          <w:rStyle w:val="anegp0gi0b9av8jahpyh"/>
          <w:rFonts w:ascii="Times New Roman" w:hAnsi="Times New Roman" w:cs="Times New Roman"/>
          <w:sz w:val="24"/>
          <w:szCs w:val="24"/>
          <w:lang w:val="ru-RU"/>
        </w:rPr>
      </w:pPr>
    </w:p>
    <w:p w:rsidR="005B011E" w:rsidRPr="005314ED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Harutyunyan Gayane </w:t>
      </w:r>
      <w:r w:rsidRPr="00245B0F">
        <w:rPr>
          <w:rFonts w:ascii="Times New Roman" w:hAnsi="Times New Roman" w:cs="Times New Roman"/>
          <w:b/>
          <w:sz w:val="24"/>
          <w:szCs w:val="24"/>
        </w:rPr>
        <w:t xml:space="preserve">Yuri </w:t>
      </w:r>
      <w:r w:rsidR="005314ED" w:rsidRPr="005314ED">
        <w:rPr>
          <w:rFonts w:ascii="Times New Roman" w:hAnsi="Times New Roman" w:cs="Times New Roman"/>
          <w:b/>
          <w:sz w:val="24"/>
          <w:szCs w:val="24"/>
        </w:rPr>
        <w:t>(</w:t>
      </w:r>
      <w:r w:rsidR="005314ED">
        <w:rPr>
          <w:rFonts w:ascii="Times New Roman" w:hAnsi="Times New Roman" w:cs="Times New Roman"/>
          <w:b/>
          <w:sz w:val="24"/>
          <w:szCs w:val="24"/>
        </w:rPr>
        <w:t>Armenia, Yerevan</w:t>
      </w:r>
      <w:r w:rsidR="005314ED" w:rsidRPr="005314ED">
        <w:rPr>
          <w:rFonts w:ascii="Times New Roman" w:hAnsi="Times New Roman" w:cs="Times New Roman"/>
          <w:b/>
          <w:sz w:val="24"/>
          <w:szCs w:val="24"/>
        </w:rPr>
        <w:t>)</w:t>
      </w:r>
    </w:p>
    <w:p w:rsidR="005B011E" w:rsidRPr="004B1CEE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18" w:history="1">
        <w:r w:rsidRPr="00245B0F">
          <w:rPr>
            <w:rStyle w:val="Hyperlink"/>
            <w:rFonts w:ascii="Times New Roman" w:hAnsi="Times New Roman" w:cs="Times New Roman"/>
            <w:b/>
            <w:sz w:val="24"/>
            <w:szCs w:val="24"/>
            <w:lang w:val="hy-AM"/>
          </w:rPr>
          <w:t>gayane.harutyunyan@asue.am</w:t>
        </w:r>
      </w:hyperlink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, </w:t>
      </w:r>
    </w:p>
    <w:p w:rsidR="005B011E" w:rsidRPr="004B1CEE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Ph</w:t>
      </w:r>
      <w:r w:rsidRPr="007A72B1">
        <w:rPr>
          <w:rFonts w:ascii="Times New Roman" w:hAnsi="Times New Roman" w:cs="Times New Roman"/>
          <w:b/>
          <w:sz w:val="24"/>
          <w:szCs w:val="24"/>
        </w:rPr>
        <w:t>.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D in Economics, </w:t>
      </w:r>
    </w:p>
    <w:p w:rsidR="005B011E" w:rsidRPr="004B1CEE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Associate Professor </w:t>
      </w:r>
      <w:r>
        <w:rPr>
          <w:rFonts w:ascii="Times New Roman" w:hAnsi="Times New Roman" w:cs="Times New Roman"/>
          <w:b/>
          <w:sz w:val="24"/>
          <w:szCs w:val="24"/>
          <w:lang w:val="hy-AM"/>
        </w:rPr>
        <w:t>at the Chair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of Financial Markets and Institutions, </w:t>
      </w:r>
    </w:p>
    <w:p w:rsidR="005B011E" w:rsidRPr="004B1CEE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Faculty of Applied Finance, </w:t>
      </w:r>
    </w:p>
    <w:p w:rsidR="005B011E" w:rsidRPr="00216C2F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Armenian State University of Economics </w:t>
      </w:r>
    </w:p>
    <w:p w:rsidR="005B011E" w:rsidRPr="00245B0F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info@a</w:t>
      </w:r>
      <w:r>
        <w:rPr>
          <w:rFonts w:ascii="Times New Roman" w:hAnsi="Times New Roman" w:cs="Times New Roman"/>
          <w:b/>
          <w:sz w:val="24"/>
          <w:szCs w:val="24"/>
          <w:lang w:val="hy-AM"/>
        </w:rPr>
        <w:t>sue.am, 0025, (+37410) 52 17 20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</w:p>
    <w:p w:rsidR="005B011E" w:rsidRPr="008671E8" w:rsidRDefault="005B011E" w:rsidP="005B011E">
      <w:pPr>
        <w:spacing w:line="240" w:lineRule="auto"/>
        <w:ind w:firstLine="709"/>
        <w:contextualSpacing/>
        <w:jc w:val="both"/>
        <w:rPr>
          <w:rStyle w:val="anegp0gi0b9av8jahpyh"/>
          <w:rFonts w:ascii="Times New Roman" w:hAnsi="Times New Roman" w:cs="Times New Roman"/>
          <w:sz w:val="24"/>
          <w:szCs w:val="24"/>
        </w:rPr>
      </w:pPr>
    </w:p>
    <w:p w:rsidR="005B011E" w:rsidRPr="005314ED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4350">
        <w:rPr>
          <w:rFonts w:ascii="Times New Roman" w:hAnsi="Times New Roman" w:cs="Times New Roman"/>
          <w:b/>
          <w:sz w:val="24"/>
          <w:szCs w:val="24"/>
          <w:lang w:val="hy-AM"/>
        </w:rPr>
        <w:t>Atanyan Aida Ararat</w:t>
      </w:r>
      <w:r w:rsidR="005314E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14ED" w:rsidRPr="005314ED">
        <w:rPr>
          <w:rFonts w:ascii="Times New Roman" w:hAnsi="Times New Roman" w:cs="Times New Roman"/>
          <w:b/>
          <w:sz w:val="24"/>
          <w:szCs w:val="24"/>
        </w:rPr>
        <w:t>(</w:t>
      </w:r>
      <w:r w:rsidR="005314ED">
        <w:rPr>
          <w:rFonts w:ascii="Times New Roman" w:hAnsi="Times New Roman" w:cs="Times New Roman"/>
          <w:b/>
          <w:sz w:val="24"/>
          <w:szCs w:val="24"/>
        </w:rPr>
        <w:t>Armenia, Yerevan</w:t>
      </w:r>
      <w:r w:rsidR="005314ED" w:rsidRPr="005314ED">
        <w:rPr>
          <w:rFonts w:ascii="Times New Roman" w:hAnsi="Times New Roman" w:cs="Times New Roman"/>
          <w:b/>
          <w:sz w:val="24"/>
          <w:szCs w:val="24"/>
        </w:rPr>
        <w:t>)</w:t>
      </w:r>
    </w:p>
    <w:p w:rsidR="005B011E" w:rsidRPr="00514350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hyperlink r:id="rId19" w:history="1">
        <w:r w:rsidRPr="001F0359">
          <w:rPr>
            <w:rStyle w:val="Hyperlink"/>
            <w:rFonts w:ascii="Times New Roman" w:hAnsi="Times New Roman" w:cs="Times New Roman"/>
            <w:b/>
            <w:sz w:val="24"/>
            <w:szCs w:val="24"/>
            <w:lang w:val="hy-AM"/>
          </w:rPr>
          <w:t>aida.atanyan@asue.am</w:t>
        </w:r>
      </w:hyperlink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  <w:r w:rsidRPr="00230A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14350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</w:p>
    <w:p w:rsidR="005B011E" w:rsidRPr="00B7734D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hy-AM"/>
        </w:rPr>
        <w:t xml:space="preserve">Lecturer at the </w:t>
      </w:r>
      <w:r w:rsidRPr="00230A06">
        <w:rPr>
          <w:rFonts w:ascii="Times New Roman" w:hAnsi="Times New Roman" w:cs="Times New Roman"/>
          <w:b/>
          <w:sz w:val="24"/>
          <w:szCs w:val="24"/>
          <w:lang w:val="hy-AM"/>
        </w:rPr>
        <w:t>Chair of Business Information Systems and Information Technologies</w:t>
      </w:r>
    </w:p>
    <w:p w:rsidR="005B011E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r w:rsidRPr="00230A06">
        <w:rPr>
          <w:rFonts w:ascii="Times New Roman" w:hAnsi="Times New Roman" w:cs="Times New Roman"/>
          <w:b/>
          <w:sz w:val="24"/>
          <w:szCs w:val="24"/>
          <w:lang w:val="hy-AM"/>
        </w:rPr>
        <w:t xml:space="preserve">Faculty of Information Technologies and Data Science </w:t>
      </w:r>
    </w:p>
    <w:p w:rsidR="005B011E" w:rsidRPr="00216C2F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Armenian State University of Economics </w:t>
      </w:r>
    </w:p>
    <w:p w:rsidR="005B011E" w:rsidRDefault="005B011E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hy-AM"/>
        </w:rPr>
      </w:pP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>info@a</w:t>
      </w:r>
      <w:r>
        <w:rPr>
          <w:rFonts w:ascii="Times New Roman" w:hAnsi="Times New Roman" w:cs="Times New Roman"/>
          <w:b/>
          <w:sz w:val="24"/>
          <w:szCs w:val="24"/>
          <w:lang w:val="hy-AM"/>
        </w:rPr>
        <w:t>sue.am, 0025, (+37410) 52 17 20</w:t>
      </w:r>
      <w:r w:rsidRPr="00245B0F">
        <w:rPr>
          <w:rFonts w:ascii="Times New Roman" w:hAnsi="Times New Roman" w:cs="Times New Roman"/>
          <w:b/>
          <w:sz w:val="24"/>
          <w:szCs w:val="24"/>
          <w:lang w:val="hy-AM"/>
        </w:rPr>
        <w:t xml:space="preserve"> </w:t>
      </w:r>
    </w:p>
    <w:p w:rsidR="00DF07BA" w:rsidRDefault="00DF07BA" w:rsidP="005B011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F07BA" w:rsidRPr="00DF07BA" w:rsidRDefault="00DF07BA" w:rsidP="00DF07BA">
      <w:pPr>
        <w:spacing w:line="240" w:lineRule="auto"/>
        <w:ind w:firstLine="709"/>
        <w:contextualSpacing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References</w:t>
      </w:r>
    </w:p>
    <w:p w:rsidR="00DF07BA" w:rsidRPr="00513613" w:rsidRDefault="00DF07BA" w:rsidP="00DF07BA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szCs w:val="28"/>
          <w:lang w:val="hy-AM"/>
        </w:rPr>
      </w:pPr>
      <w:r w:rsidRPr="00513613">
        <w:rPr>
          <w:szCs w:val="28"/>
          <w:lang w:val="hy-AM"/>
        </w:rPr>
        <w:t>Ahmadyan</w:t>
      </w:r>
      <w:r>
        <w:rPr>
          <w:szCs w:val="28"/>
          <w:lang w:val="en-US"/>
        </w:rPr>
        <w:t>,</w:t>
      </w:r>
      <w:r>
        <w:rPr>
          <w:szCs w:val="28"/>
          <w:lang w:val="hy-AM"/>
        </w:rPr>
        <w:t xml:space="preserve"> A.</w:t>
      </w:r>
      <w:r w:rsidRPr="00513613">
        <w:rPr>
          <w:szCs w:val="28"/>
          <w:lang w:val="hy-AM"/>
        </w:rPr>
        <w:t xml:space="preserve"> </w:t>
      </w:r>
      <w:r>
        <w:rPr>
          <w:rFonts w:eastAsiaTheme="minorEastAsia" w:hint="eastAsia"/>
          <w:szCs w:val="28"/>
          <w:lang w:val="hy-AM" w:eastAsia="ja-JP"/>
        </w:rPr>
        <w:t xml:space="preserve">(2021). </w:t>
      </w:r>
      <w:r w:rsidRPr="00513613">
        <w:rPr>
          <w:szCs w:val="28"/>
          <w:lang w:val="hy-AM"/>
        </w:rPr>
        <w:t>Corporate Governance and Irani</w:t>
      </w:r>
      <w:r>
        <w:rPr>
          <w:szCs w:val="28"/>
          <w:lang w:val="hy-AM"/>
        </w:rPr>
        <w:t>an Banking Economic Value Added.</w:t>
      </w:r>
      <w:r w:rsidRPr="00513613">
        <w:rPr>
          <w:szCs w:val="28"/>
          <w:lang w:val="hy-AM"/>
        </w:rPr>
        <w:t xml:space="preserve"> </w:t>
      </w:r>
      <w:r w:rsidRPr="00BF1562">
        <w:rPr>
          <w:i/>
          <w:iCs/>
          <w:szCs w:val="28"/>
          <w:lang w:val="hy-AM"/>
        </w:rPr>
        <w:t xml:space="preserve">Iranian Journal of Finance, </w:t>
      </w:r>
      <w:r w:rsidRPr="00BF1562">
        <w:rPr>
          <w:i/>
          <w:iCs/>
          <w:lang w:val="en-US"/>
        </w:rPr>
        <w:t>5</w:t>
      </w:r>
      <w:r>
        <w:rPr>
          <w:lang w:val="en-US"/>
        </w:rPr>
        <w:t>(</w:t>
      </w:r>
      <w:r w:rsidRPr="00021267">
        <w:rPr>
          <w:lang w:val="en-US"/>
        </w:rPr>
        <w:t>2</w:t>
      </w:r>
      <w:r>
        <w:rPr>
          <w:lang w:val="en-US"/>
        </w:rPr>
        <w:t xml:space="preserve">), </w:t>
      </w:r>
      <w:r>
        <w:rPr>
          <w:szCs w:val="28"/>
          <w:lang w:val="hy-AM"/>
        </w:rPr>
        <w:t>47-69.</w:t>
      </w:r>
      <w:r w:rsidRPr="00513613">
        <w:rPr>
          <w:szCs w:val="28"/>
          <w:lang w:val="hy-AM"/>
        </w:rPr>
        <w:t xml:space="preserve"> </w:t>
      </w:r>
      <w:r>
        <w:rPr>
          <w:szCs w:val="28"/>
          <w:lang w:val="en-US"/>
        </w:rPr>
        <w:t>A</w:t>
      </w:r>
      <w:r>
        <w:rPr>
          <w:rFonts w:eastAsiaTheme="minorEastAsia" w:hint="eastAsia"/>
          <w:szCs w:val="28"/>
          <w:lang w:val="hy-AM" w:eastAsia="ja-JP"/>
        </w:rPr>
        <w:t xml:space="preserve">vailable at: </w:t>
      </w:r>
      <w:hyperlink r:id="rId20" w:history="1">
        <w:r w:rsidRPr="001900AC">
          <w:rPr>
            <w:rStyle w:val="Hyperlink"/>
            <w:szCs w:val="28"/>
            <w:lang w:val="hy-AM"/>
          </w:rPr>
          <w:t>https://www.ijfifsa.ir/article_129421_d3b27ed741dac180907f46f53523b5a3.pdf</w:t>
        </w:r>
      </w:hyperlink>
    </w:p>
    <w:p w:rsidR="00DF07BA" w:rsidRPr="00513613" w:rsidRDefault="00DF07BA" w:rsidP="00DF07BA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rFonts w:eastAsiaTheme="minorEastAsia"/>
          <w:szCs w:val="28"/>
          <w:lang w:val="hy-AM" w:eastAsia="ja-JP"/>
        </w:rPr>
      </w:pPr>
      <w:r w:rsidRPr="00513613">
        <w:rPr>
          <w:szCs w:val="28"/>
          <w:lang w:val="hy-AM"/>
        </w:rPr>
        <w:t>Grant</w:t>
      </w:r>
      <w:r>
        <w:rPr>
          <w:szCs w:val="28"/>
          <w:lang w:val="en-US"/>
        </w:rPr>
        <w:t>,</w:t>
      </w:r>
      <w:r w:rsidRPr="00513613">
        <w:rPr>
          <w:szCs w:val="28"/>
          <w:lang w:val="hy-AM"/>
        </w:rPr>
        <w:t xml:space="preserve"> L. </w:t>
      </w:r>
      <w:r>
        <w:rPr>
          <w:rFonts w:eastAsiaTheme="minorEastAsia" w:hint="eastAsia"/>
          <w:szCs w:val="28"/>
          <w:lang w:val="hy-AM" w:eastAsia="ja-JP"/>
        </w:rPr>
        <w:t>(</w:t>
      </w:r>
      <w:r w:rsidRPr="00513613">
        <w:rPr>
          <w:szCs w:val="28"/>
          <w:lang w:val="hy-AM"/>
        </w:rPr>
        <w:t>2003</w:t>
      </w:r>
      <w:r>
        <w:rPr>
          <w:rFonts w:eastAsiaTheme="minorEastAsia" w:hint="eastAsia"/>
          <w:szCs w:val="28"/>
          <w:lang w:val="hy-AM" w:eastAsia="ja-JP"/>
        </w:rPr>
        <w:t>)</w:t>
      </w:r>
      <w:r>
        <w:rPr>
          <w:szCs w:val="28"/>
          <w:lang w:val="hy-AM"/>
        </w:rPr>
        <w:t>.</w:t>
      </w:r>
      <w:r w:rsidRPr="00513613">
        <w:rPr>
          <w:szCs w:val="28"/>
          <w:lang w:val="hy-AM"/>
        </w:rPr>
        <w:t xml:space="preserve"> Foun</w:t>
      </w:r>
      <w:r>
        <w:rPr>
          <w:szCs w:val="28"/>
          <w:lang w:val="hy-AM"/>
        </w:rPr>
        <w:t>dations of Economic Value Added.</w:t>
      </w:r>
      <w:r w:rsidRPr="00513613">
        <w:rPr>
          <w:szCs w:val="28"/>
          <w:lang w:val="hy-AM"/>
        </w:rPr>
        <w:t xml:space="preserve"> </w:t>
      </w:r>
      <w:r w:rsidRPr="00BF1562">
        <w:rPr>
          <w:i/>
          <w:iCs/>
          <w:szCs w:val="28"/>
          <w:lang w:val="hy-AM"/>
        </w:rPr>
        <w:t xml:space="preserve">Wiley finance, </w:t>
      </w:r>
      <w:r w:rsidRPr="00BF1562">
        <w:rPr>
          <w:i/>
          <w:iCs/>
          <w:szCs w:val="28"/>
          <w:lang w:val="en-US"/>
        </w:rPr>
        <w:t>2</w:t>
      </w:r>
      <w:r>
        <w:rPr>
          <w:szCs w:val="28"/>
          <w:lang w:val="en-US"/>
        </w:rPr>
        <w:t>.</w:t>
      </w:r>
      <w:r w:rsidRPr="00513613">
        <w:rPr>
          <w:szCs w:val="28"/>
          <w:lang w:val="hy-AM"/>
        </w:rPr>
        <w:t xml:space="preserve"> </w:t>
      </w:r>
      <w:r>
        <w:rPr>
          <w:szCs w:val="28"/>
          <w:lang w:val="en-US"/>
        </w:rPr>
        <w:t>A</w:t>
      </w:r>
      <w:r>
        <w:rPr>
          <w:rFonts w:eastAsiaTheme="minorEastAsia" w:hint="eastAsia"/>
          <w:szCs w:val="28"/>
          <w:lang w:val="hy-AM" w:eastAsia="ja-JP"/>
        </w:rPr>
        <w:t xml:space="preserve">vailable at: </w:t>
      </w:r>
      <w:hyperlink r:id="rId21" w:history="1">
        <w:r w:rsidRPr="001900AC">
          <w:rPr>
            <w:rStyle w:val="Hyperlink"/>
            <w:szCs w:val="28"/>
            <w:lang w:val="hy-AM"/>
          </w:rPr>
          <w:t>http://www.loc.gov/catdir/description/wiley037/2003269697.html</w:t>
        </w:r>
      </w:hyperlink>
    </w:p>
    <w:p w:rsidR="00DF07BA" w:rsidRPr="00513613" w:rsidRDefault="00DF07BA" w:rsidP="00DF07BA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szCs w:val="28"/>
          <w:lang w:val="hy-AM"/>
        </w:rPr>
      </w:pPr>
      <w:r w:rsidRPr="00D3160B">
        <w:rPr>
          <w:szCs w:val="28"/>
          <w:lang w:val="hy-AM"/>
        </w:rPr>
        <w:t>Harutyunyan, G., Badalyan, I. (2023). Economic Value Added (EVA) And its Calculation Features in Banks. Messenger of ASUE, 3(75), 5-22. DOI:10.52174/1829-0280_2023.3-5</w:t>
      </w:r>
    </w:p>
    <w:p w:rsidR="00DF07BA" w:rsidRPr="00513613" w:rsidRDefault="00DF07BA" w:rsidP="00DF07BA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szCs w:val="28"/>
          <w:lang w:val="hy-AM"/>
        </w:rPr>
      </w:pPr>
      <w:r w:rsidRPr="00513613">
        <w:rPr>
          <w:szCs w:val="28"/>
          <w:lang w:val="hy-AM"/>
        </w:rPr>
        <w:t>Kislingerová</w:t>
      </w:r>
      <w:r>
        <w:rPr>
          <w:szCs w:val="28"/>
          <w:lang w:val="en-US"/>
        </w:rPr>
        <w:t>,</w:t>
      </w:r>
      <w:r>
        <w:rPr>
          <w:szCs w:val="28"/>
          <w:lang w:val="hy-AM"/>
        </w:rPr>
        <w:t xml:space="preserve"> E.</w:t>
      </w:r>
      <w:r w:rsidRPr="00513613">
        <w:rPr>
          <w:szCs w:val="28"/>
          <w:lang w:val="hy-AM"/>
        </w:rPr>
        <w:t xml:space="preserve"> </w:t>
      </w:r>
      <w:r>
        <w:rPr>
          <w:rFonts w:eastAsiaTheme="minorEastAsia" w:hint="eastAsia"/>
          <w:szCs w:val="28"/>
          <w:lang w:val="hy-AM" w:eastAsia="ja-JP"/>
        </w:rPr>
        <w:t>(2000)</w:t>
      </w:r>
      <w:r>
        <w:rPr>
          <w:rFonts w:eastAsiaTheme="minorEastAsia"/>
          <w:szCs w:val="28"/>
          <w:lang w:val="en-US" w:eastAsia="ja-JP"/>
        </w:rPr>
        <w:t>.</w:t>
      </w:r>
      <w:r>
        <w:rPr>
          <w:rFonts w:eastAsiaTheme="minorEastAsia" w:hint="eastAsia"/>
          <w:szCs w:val="28"/>
          <w:lang w:val="hy-AM" w:eastAsia="ja-JP"/>
        </w:rPr>
        <w:t xml:space="preserve"> </w:t>
      </w:r>
      <w:r w:rsidRPr="00513613">
        <w:rPr>
          <w:szCs w:val="28"/>
          <w:lang w:val="hy-AM"/>
        </w:rPr>
        <w:t>Using of the economic value added model for valuation of a company</w:t>
      </w:r>
      <w:r>
        <w:rPr>
          <w:szCs w:val="28"/>
          <w:lang w:val="en-US"/>
        </w:rPr>
        <w:t>.</w:t>
      </w:r>
      <w:r w:rsidRPr="00513613">
        <w:rPr>
          <w:szCs w:val="28"/>
          <w:lang w:val="hy-AM"/>
        </w:rPr>
        <w:t xml:space="preserve"> </w:t>
      </w:r>
      <w:r w:rsidRPr="00BF1562">
        <w:rPr>
          <w:i/>
          <w:iCs/>
          <w:szCs w:val="28"/>
          <w:lang w:val="en-US"/>
        </w:rPr>
        <w:t>BIATEC, 8</w:t>
      </w:r>
      <w:r>
        <w:rPr>
          <w:szCs w:val="28"/>
          <w:lang w:val="en-US"/>
        </w:rPr>
        <w:t>, 38-39</w:t>
      </w:r>
      <w:r>
        <w:rPr>
          <w:szCs w:val="28"/>
          <w:lang w:val="hy-AM"/>
        </w:rPr>
        <w:t>.</w:t>
      </w:r>
      <w:r w:rsidRPr="00513613">
        <w:rPr>
          <w:szCs w:val="28"/>
          <w:lang w:val="hy-AM"/>
        </w:rPr>
        <w:t xml:space="preserve"> </w:t>
      </w:r>
      <w:r>
        <w:rPr>
          <w:szCs w:val="28"/>
          <w:lang w:val="en-US"/>
        </w:rPr>
        <w:t>A</w:t>
      </w:r>
      <w:r>
        <w:rPr>
          <w:rFonts w:eastAsiaTheme="minorEastAsia" w:hint="eastAsia"/>
          <w:szCs w:val="28"/>
          <w:lang w:val="hy-AM" w:eastAsia="ja-JP"/>
        </w:rPr>
        <w:t xml:space="preserve">vailable at: </w:t>
      </w:r>
      <w:hyperlink r:id="rId22" w:history="1">
        <w:r w:rsidRPr="001900AC">
          <w:rPr>
            <w:rStyle w:val="Hyperlink"/>
            <w:szCs w:val="28"/>
            <w:lang w:val="hy-AM"/>
          </w:rPr>
          <w:t>https://www.nbs.sk/_img/documents/biatec/kislan.pdf</w:t>
        </w:r>
      </w:hyperlink>
    </w:p>
    <w:p w:rsidR="00DF07BA" w:rsidRPr="00D3160B" w:rsidRDefault="00DF07BA" w:rsidP="00DF07BA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szCs w:val="28"/>
          <w:lang w:val="hy-AM"/>
        </w:rPr>
      </w:pPr>
      <w:r w:rsidRPr="00D12C8F">
        <w:rPr>
          <w:szCs w:val="28"/>
          <w:lang w:val="hy-AM"/>
        </w:rPr>
        <w:t>Maulana, J., Rohyana</w:t>
      </w:r>
      <w:r>
        <w:rPr>
          <w:szCs w:val="28"/>
          <w:lang w:val="en-US"/>
        </w:rPr>
        <w:t>,</w:t>
      </w:r>
      <w:r w:rsidRPr="00D12C8F">
        <w:rPr>
          <w:szCs w:val="28"/>
          <w:lang w:val="hy-AM"/>
        </w:rPr>
        <w:t xml:space="preserve"> C., </w:t>
      </w:r>
      <w:proofErr w:type="gramStart"/>
      <w:r>
        <w:rPr>
          <w:szCs w:val="28"/>
          <w:lang w:val="en-US"/>
        </w:rPr>
        <w:t xml:space="preserve">&amp; </w:t>
      </w:r>
      <w:r>
        <w:rPr>
          <w:szCs w:val="28"/>
          <w:lang w:val="hy-AM"/>
        </w:rPr>
        <w:t>Juwita</w:t>
      </w:r>
      <w:r>
        <w:rPr>
          <w:szCs w:val="28"/>
          <w:lang w:val="en-US"/>
        </w:rPr>
        <w:t>,</w:t>
      </w:r>
      <w:r>
        <w:rPr>
          <w:szCs w:val="28"/>
          <w:lang w:val="hy-AM"/>
        </w:rPr>
        <w:t xml:space="preserve"> R.</w:t>
      </w:r>
      <w:r w:rsidRPr="00D12C8F">
        <w:rPr>
          <w:szCs w:val="28"/>
          <w:lang w:val="hy-AM"/>
        </w:rPr>
        <w:t xml:space="preserve"> </w:t>
      </w:r>
      <w:r w:rsidRPr="00D12C8F">
        <w:rPr>
          <w:rFonts w:hint="eastAsia"/>
          <w:szCs w:val="28"/>
          <w:lang w:val="hy-AM"/>
        </w:rPr>
        <w:t>(</w:t>
      </w:r>
      <w:r w:rsidRPr="00D12C8F">
        <w:rPr>
          <w:szCs w:val="28"/>
          <w:lang w:val="hy-AM"/>
        </w:rPr>
        <w:t>2023</w:t>
      </w:r>
      <w:r w:rsidRPr="00D12C8F">
        <w:rPr>
          <w:rFonts w:hint="eastAsia"/>
          <w:szCs w:val="28"/>
          <w:lang w:val="hy-AM"/>
        </w:rPr>
        <w:t>)</w:t>
      </w:r>
      <w:r>
        <w:rPr>
          <w:szCs w:val="28"/>
          <w:lang w:val="hy-AM"/>
        </w:rPr>
        <w:t>.</w:t>
      </w:r>
      <w:proofErr w:type="gramEnd"/>
      <w:r w:rsidRPr="00D12C8F">
        <w:rPr>
          <w:rFonts w:hint="eastAsia"/>
          <w:szCs w:val="28"/>
          <w:lang w:val="hy-AM"/>
        </w:rPr>
        <w:t xml:space="preserve"> </w:t>
      </w:r>
      <w:r w:rsidRPr="00D12C8F">
        <w:rPr>
          <w:szCs w:val="28"/>
          <w:lang w:val="hy-AM"/>
        </w:rPr>
        <w:t xml:space="preserve">Analysis of The Economic Value Added (EVA) Method As A Measurement of Financial Performance at PT X Indonesia. </w:t>
      </w:r>
      <w:r w:rsidRPr="00BF1562">
        <w:rPr>
          <w:i/>
          <w:iCs/>
          <w:szCs w:val="28"/>
          <w:lang w:val="en-US"/>
        </w:rPr>
        <w:t xml:space="preserve">Journal of </w:t>
      </w:r>
      <w:r w:rsidRPr="00BF1562">
        <w:rPr>
          <w:i/>
          <w:iCs/>
          <w:szCs w:val="28"/>
          <w:lang w:val="hy-AM"/>
        </w:rPr>
        <w:t>Advances in Applied Accounting Research</w:t>
      </w:r>
      <w:r w:rsidRPr="00BF1562">
        <w:rPr>
          <w:i/>
          <w:iCs/>
          <w:szCs w:val="28"/>
          <w:lang w:val="en-US"/>
        </w:rPr>
        <w:t>,</w:t>
      </w:r>
      <w:r w:rsidRPr="00BF1562">
        <w:rPr>
          <w:i/>
          <w:iCs/>
          <w:szCs w:val="28"/>
          <w:lang w:val="hy-AM"/>
        </w:rPr>
        <w:t xml:space="preserve"> 1</w:t>
      </w:r>
      <w:r w:rsidRPr="00D12C8F">
        <w:rPr>
          <w:szCs w:val="28"/>
          <w:lang w:val="hy-AM"/>
        </w:rPr>
        <w:t>(2), 56-64</w:t>
      </w:r>
      <w:r>
        <w:rPr>
          <w:szCs w:val="28"/>
          <w:lang w:val="en-US"/>
        </w:rPr>
        <w:t>.</w:t>
      </w:r>
    </w:p>
    <w:p w:rsidR="00DF07BA" w:rsidRPr="00755969" w:rsidRDefault="00DF07BA" w:rsidP="00DF07BA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szCs w:val="28"/>
          <w:lang w:val="hy-AM"/>
        </w:rPr>
      </w:pPr>
      <w:r w:rsidRPr="00513613">
        <w:rPr>
          <w:szCs w:val="28"/>
          <w:lang w:val="hy-AM"/>
        </w:rPr>
        <w:t>Nikhil</w:t>
      </w:r>
      <w:r>
        <w:rPr>
          <w:szCs w:val="28"/>
          <w:lang w:val="en-US"/>
        </w:rPr>
        <w:t>,</w:t>
      </w:r>
      <w:r>
        <w:rPr>
          <w:szCs w:val="28"/>
          <w:lang w:val="hy-AM"/>
        </w:rPr>
        <w:t xml:space="preserve"> Sh.</w:t>
      </w:r>
      <w:r>
        <w:rPr>
          <w:szCs w:val="28"/>
          <w:lang w:val="en-US"/>
        </w:rPr>
        <w:t xml:space="preserve"> </w:t>
      </w:r>
      <w:proofErr w:type="gramStart"/>
      <w:r>
        <w:rPr>
          <w:szCs w:val="28"/>
          <w:lang w:val="en-US"/>
        </w:rPr>
        <w:t>(</w:t>
      </w:r>
      <w:r w:rsidRPr="00513613">
        <w:rPr>
          <w:szCs w:val="28"/>
          <w:lang w:val="hy-AM"/>
        </w:rPr>
        <w:t>2009</w:t>
      </w:r>
      <w:r>
        <w:rPr>
          <w:szCs w:val="28"/>
          <w:lang w:val="en-US"/>
        </w:rPr>
        <w:t xml:space="preserve">). </w:t>
      </w:r>
      <w:r w:rsidRPr="00513613">
        <w:rPr>
          <w:szCs w:val="28"/>
          <w:lang w:val="hy-AM"/>
        </w:rPr>
        <w:t>Key Discr</w:t>
      </w:r>
      <w:r>
        <w:rPr>
          <w:szCs w:val="28"/>
          <w:lang w:val="hy-AM"/>
        </w:rPr>
        <w:t>iminators of Bank Profitability.</w:t>
      </w:r>
      <w:proofErr w:type="gramEnd"/>
      <w:r w:rsidRPr="00513613">
        <w:rPr>
          <w:szCs w:val="28"/>
          <w:lang w:val="hy-AM"/>
        </w:rPr>
        <w:t xml:space="preserve"> </w:t>
      </w:r>
      <w:r w:rsidRPr="00BF1562">
        <w:rPr>
          <w:i/>
          <w:iCs/>
          <w:szCs w:val="28"/>
          <w:lang w:val="hy-AM"/>
        </w:rPr>
        <w:t>Interdisciplinary Journal of Contemporary Research in Business, 1</w:t>
      </w:r>
      <w:r w:rsidRPr="00513613">
        <w:rPr>
          <w:szCs w:val="28"/>
          <w:lang w:val="hy-AM"/>
        </w:rPr>
        <w:t>(2), 97–110</w:t>
      </w:r>
      <w:r>
        <w:rPr>
          <w:szCs w:val="28"/>
          <w:lang w:val="en-US"/>
        </w:rPr>
        <w:t>.</w:t>
      </w:r>
      <w:r w:rsidRPr="00513613">
        <w:rPr>
          <w:szCs w:val="28"/>
          <w:lang w:val="hy-AM"/>
        </w:rPr>
        <w:t xml:space="preserve"> </w:t>
      </w:r>
    </w:p>
    <w:p w:rsidR="00DF07BA" w:rsidRDefault="00DF07BA" w:rsidP="00DF07BA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szCs w:val="28"/>
          <w:lang w:val="hy-AM"/>
        </w:rPr>
      </w:pPr>
      <w:r w:rsidRPr="00513613">
        <w:rPr>
          <w:szCs w:val="28"/>
          <w:lang w:val="hy-AM"/>
        </w:rPr>
        <w:t>Priyanka</w:t>
      </w:r>
      <w:r w:rsidRPr="00755969">
        <w:rPr>
          <w:szCs w:val="28"/>
          <w:lang w:val="hy-AM"/>
        </w:rPr>
        <w:t>,</w:t>
      </w:r>
      <w:r w:rsidRPr="00513613">
        <w:rPr>
          <w:szCs w:val="28"/>
          <w:lang w:val="hy-AM"/>
        </w:rPr>
        <w:t xml:space="preserve"> T., </w:t>
      </w:r>
      <w:r w:rsidRPr="00755969">
        <w:rPr>
          <w:szCs w:val="28"/>
          <w:lang w:val="hy-AM"/>
        </w:rPr>
        <w:t xml:space="preserve">&amp; </w:t>
      </w:r>
      <w:r w:rsidRPr="00513613">
        <w:rPr>
          <w:szCs w:val="28"/>
          <w:lang w:val="hy-AM"/>
        </w:rPr>
        <w:t>Sudha</w:t>
      </w:r>
      <w:r w:rsidRPr="00755969">
        <w:rPr>
          <w:szCs w:val="28"/>
          <w:lang w:val="hy-AM"/>
        </w:rPr>
        <w:t>,</w:t>
      </w:r>
      <w:r>
        <w:rPr>
          <w:szCs w:val="28"/>
          <w:lang w:val="hy-AM"/>
        </w:rPr>
        <w:t xml:space="preserve"> Dr.</w:t>
      </w:r>
      <w:r w:rsidRPr="00513613">
        <w:rPr>
          <w:szCs w:val="28"/>
          <w:lang w:val="hy-AM"/>
        </w:rPr>
        <w:t xml:space="preserve"> </w:t>
      </w:r>
      <w:r w:rsidRPr="00755969">
        <w:rPr>
          <w:rFonts w:hint="eastAsia"/>
          <w:szCs w:val="28"/>
          <w:lang w:val="hy-AM"/>
        </w:rPr>
        <w:t>(</w:t>
      </w:r>
      <w:r w:rsidRPr="00513613">
        <w:rPr>
          <w:szCs w:val="28"/>
          <w:lang w:val="hy-AM"/>
        </w:rPr>
        <w:t>2020</w:t>
      </w:r>
      <w:r w:rsidRPr="00755969">
        <w:rPr>
          <w:rFonts w:hint="eastAsia"/>
          <w:szCs w:val="28"/>
          <w:lang w:val="hy-AM"/>
        </w:rPr>
        <w:t>)</w:t>
      </w:r>
      <w:r w:rsidRPr="00755969">
        <w:rPr>
          <w:szCs w:val="28"/>
          <w:lang w:val="hy-AM"/>
        </w:rPr>
        <w:t>.</w:t>
      </w:r>
      <w:r w:rsidRPr="00755969">
        <w:rPr>
          <w:rFonts w:hint="eastAsia"/>
          <w:szCs w:val="28"/>
          <w:lang w:val="hy-AM"/>
        </w:rPr>
        <w:t xml:space="preserve"> </w:t>
      </w:r>
      <w:r w:rsidRPr="00513613">
        <w:rPr>
          <w:szCs w:val="28"/>
          <w:lang w:val="hy-AM"/>
        </w:rPr>
        <w:t xml:space="preserve">Concept Of Economic Value Added And It’s </w:t>
      </w:r>
      <w:r>
        <w:rPr>
          <w:szCs w:val="28"/>
          <w:lang w:val="hy-AM"/>
        </w:rPr>
        <w:t>Application In Commercial Banks.</w:t>
      </w:r>
      <w:r w:rsidRPr="00513613">
        <w:rPr>
          <w:szCs w:val="28"/>
          <w:lang w:val="hy-AM"/>
        </w:rPr>
        <w:t xml:space="preserve"> </w:t>
      </w:r>
      <w:r w:rsidRPr="00755969">
        <w:rPr>
          <w:szCs w:val="28"/>
          <w:lang w:val="hy-AM"/>
        </w:rPr>
        <w:t>International journal of scientific &amp; technology research, 9(3)</w:t>
      </w:r>
      <w:r w:rsidRPr="00513613">
        <w:rPr>
          <w:szCs w:val="28"/>
          <w:lang w:val="hy-AM"/>
        </w:rPr>
        <w:t xml:space="preserve">, </w:t>
      </w:r>
      <w:r>
        <w:rPr>
          <w:szCs w:val="28"/>
          <w:lang w:val="hy-AM"/>
        </w:rPr>
        <w:t>1639-1641.</w:t>
      </w:r>
      <w:r w:rsidRPr="00755969">
        <w:rPr>
          <w:szCs w:val="28"/>
          <w:lang w:val="hy-AM"/>
        </w:rPr>
        <w:t xml:space="preserve"> A</w:t>
      </w:r>
      <w:r w:rsidRPr="00755969">
        <w:rPr>
          <w:rFonts w:hint="eastAsia"/>
          <w:szCs w:val="28"/>
          <w:lang w:val="hy-AM"/>
        </w:rPr>
        <w:t xml:space="preserve">vailable at: </w:t>
      </w:r>
      <w:hyperlink r:id="rId23" w:history="1">
        <w:r w:rsidRPr="004B1CEE">
          <w:rPr>
            <w:lang w:val="en-US"/>
          </w:rPr>
          <w:t>https://www.ijstr.org/final-print/mar2020/Concept-Of-Economic-Value-Added-And-Its-Application-In-Commercial-Banks.pdf</w:t>
        </w:r>
      </w:hyperlink>
    </w:p>
    <w:p w:rsidR="00BD1D6F" w:rsidRPr="005B011E" w:rsidRDefault="00DF07BA" w:rsidP="007641B3">
      <w:pPr>
        <w:pStyle w:val="NormalWeb"/>
        <w:shd w:val="clear" w:color="auto" w:fill="FFFFFF"/>
        <w:spacing w:before="0" w:beforeAutospacing="0" w:after="0" w:afterAutospacing="0"/>
        <w:ind w:left="709" w:hanging="567"/>
        <w:contextualSpacing/>
        <w:jc w:val="both"/>
        <w:textAlignment w:val="baseline"/>
        <w:rPr>
          <w:szCs w:val="28"/>
          <w:lang w:val="en-US"/>
        </w:rPr>
      </w:pPr>
      <w:r w:rsidRPr="005C3F41">
        <w:rPr>
          <w:szCs w:val="28"/>
          <w:lang w:val="hy-AM"/>
        </w:rPr>
        <w:t>Thampy</w:t>
      </w:r>
      <w:r w:rsidRPr="005C3F41">
        <w:rPr>
          <w:szCs w:val="28"/>
          <w:lang w:val="en-US"/>
        </w:rPr>
        <w:t>,</w:t>
      </w:r>
      <w:r w:rsidRPr="005C3F41">
        <w:rPr>
          <w:szCs w:val="28"/>
          <w:lang w:val="hy-AM"/>
        </w:rPr>
        <w:t xml:space="preserve"> A., </w:t>
      </w:r>
      <w:proofErr w:type="gramStart"/>
      <w:r w:rsidRPr="005C3F41">
        <w:rPr>
          <w:szCs w:val="28"/>
          <w:lang w:val="en-US"/>
        </w:rPr>
        <w:t xml:space="preserve">&amp; </w:t>
      </w:r>
      <w:r w:rsidRPr="005C3F41">
        <w:rPr>
          <w:szCs w:val="28"/>
          <w:lang w:val="hy-AM"/>
        </w:rPr>
        <w:t>Baheth</w:t>
      </w:r>
      <w:r w:rsidRPr="005C3F41">
        <w:rPr>
          <w:szCs w:val="28"/>
          <w:lang w:val="en-US"/>
        </w:rPr>
        <w:t>,</w:t>
      </w:r>
      <w:r w:rsidRPr="005C3F41">
        <w:rPr>
          <w:szCs w:val="28"/>
          <w:lang w:val="hy-AM"/>
        </w:rPr>
        <w:t xml:space="preserve"> R. </w:t>
      </w:r>
      <w:r w:rsidRPr="005C3F41">
        <w:rPr>
          <w:rFonts w:eastAsiaTheme="minorEastAsia" w:hint="eastAsia"/>
          <w:szCs w:val="28"/>
          <w:lang w:val="hy-AM" w:eastAsia="ja-JP"/>
        </w:rPr>
        <w:t>(</w:t>
      </w:r>
      <w:r w:rsidRPr="005C3F41">
        <w:rPr>
          <w:szCs w:val="28"/>
          <w:lang w:val="hy-AM"/>
        </w:rPr>
        <w:t>2000</w:t>
      </w:r>
      <w:r w:rsidRPr="005C3F41">
        <w:rPr>
          <w:rFonts w:eastAsiaTheme="minorEastAsia" w:hint="eastAsia"/>
          <w:szCs w:val="28"/>
          <w:lang w:val="hy-AM" w:eastAsia="ja-JP"/>
        </w:rPr>
        <w:t>)</w:t>
      </w:r>
      <w:r w:rsidRPr="005C3F41">
        <w:rPr>
          <w:rFonts w:eastAsiaTheme="minorEastAsia"/>
          <w:szCs w:val="28"/>
          <w:lang w:val="en-US" w:eastAsia="ja-JP"/>
        </w:rPr>
        <w:t>.</w:t>
      </w:r>
      <w:proofErr w:type="gramEnd"/>
      <w:r w:rsidRPr="005C3F41">
        <w:rPr>
          <w:rFonts w:eastAsiaTheme="minorEastAsia" w:hint="eastAsia"/>
          <w:szCs w:val="28"/>
          <w:lang w:val="hy-AM" w:eastAsia="ja-JP"/>
        </w:rPr>
        <w:t xml:space="preserve"> </w:t>
      </w:r>
      <w:r w:rsidRPr="005C3F41">
        <w:rPr>
          <w:szCs w:val="28"/>
          <w:lang w:val="hy-AM"/>
        </w:rPr>
        <w:t>Economic Value Added in Banks and Development Financial Institutions</w:t>
      </w:r>
      <w:r w:rsidRPr="005C3F41">
        <w:rPr>
          <w:szCs w:val="28"/>
          <w:lang w:val="en-US"/>
        </w:rPr>
        <w:t>.</w:t>
      </w:r>
      <w:r w:rsidRPr="005C3F41">
        <w:rPr>
          <w:szCs w:val="28"/>
          <w:lang w:val="hy-AM"/>
        </w:rPr>
        <w:t xml:space="preserve"> </w:t>
      </w:r>
      <w:r w:rsidRPr="005C3F41">
        <w:rPr>
          <w:szCs w:val="28"/>
          <w:lang w:val="en-US"/>
        </w:rPr>
        <w:t>A</w:t>
      </w:r>
      <w:r w:rsidRPr="005C3F41">
        <w:rPr>
          <w:rFonts w:eastAsiaTheme="minorEastAsia" w:hint="eastAsia"/>
          <w:szCs w:val="28"/>
          <w:lang w:val="hy-AM" w:eastAsia="ja-JP"/>
        </w:rPr>
        <w:t xml:space="preserve">vailable at: </w:t>
      </w:r>
      <w:hyperlink r:id="rId24" w:history="1">
        <w:r w:rsidRPr="005C3F41">
          <w:rPr>
            <w:rStyle w:val="Hyperlink"/>
            <w:szCs w:val="28"/>
            <w:lang w:val="hy-AM"/>
          </w:rPr>
          <w:t>https://repository.iimb.ac.in/bitstream/123456789/490/1/wp.iimb.149.pdf</w:t>
        </w:r>
      </w:hyperlink>
    </w:p>
    <w:sectPr w:rsidR="00BD1D6F" w:rsidRPr="005B011E" w:rsidSect="00DB7511">
      <w:footerReference w:type="default" r:id="rId25"/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304C" w:rsidRDefault="00B6304C" w:rsidP="00575A55">
      <w:pPr>
        <w:spacing w:after="0" w:line="240" w:lineRule="auto"/>
      </w:pPr>
      <w:r>
        <w:separator/>
      </w:r>
    </w:p>
  </w:endnote>
  <w:endnote w:type="continuationSeparator" w:id="0">
    <w:p w:rsidR="00B6304C" w:rsidRDefault="00B6304C" w:rsidP="00575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133821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75A55" w:rsidRDefault="00575A5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19A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575A55" w:rsidRDefault="00575A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304C" w:rsidRDefault="00B6304C" w:rsidP="00575A55">
      <w:pPr>
        <w:spacing w:after="0" w:line="240" w:lineRule="auto"/>
      </w:pPr>
      <w:r>
        <w:separator/>
      </w:r>
    </w:p>
  </w:footnote>
  <w:footnote w:type="continuationSeparator" w:id="0">
    <w:p w:rsidR="00B6304C" w:rsidRDefault="00B6304C" w:rsidP="00575A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1A6F26"/>
    <w:multiLevelType w:val="hybridMultilevel"/>
    <w:tmpl w:val="B9ACB2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376A9F"/>
    <w:multiLevelType w:val="multilevel"/>
    <w:tmpl w:val="3DBA6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D3C"/>
    <w:rsid w:val="000003A7"/>
    <w:rsid w:val="000134C0"/>
    <w:rsid w:val="00020386"/>
    <w:rsid w:val="00020E27"/>
    <w:rsid w:val="0002725E"/>
    <w:rsid w:val="000307F3"/>
    <w:rsid w:val="00034F1C"/>
    <w:rsid w:val="00045FC5"/>
    <w:rsid w:val="000562A4"/>
    <w:rsid w:val="0008013E"/>
    <w:rsid w:val="00083C6A"/>
    <w:rsid w:val="000A2F6A"/>
    <w:rsid w:val="000A7E46"/>
    <w:rsid w:val="000C0D50"/>
    <w:rsid w:val="000C2723"/>
    <w:rsid w:val="000E2A75"/>
    <w:rsid w:val="000E51E0"/>
    <w:rsid w:val="001111D0"/>
    <w:rsid w:val="00111A69"/>
    <w:rsid w:val="00111B93"/>
    <w:rsid w:val="0011523C"/>
    <w:rsid w:val="00115C19"/>
    <w:rsid w:val="001227C5"/>
    <w:rsid w:val="001231CF"/>
    <w:rsid w:val="00132901"/>
    <w:rsid w:val="00137AE7"/>
    <w:rsid w:val="001429F9"/>
    <w:rsid w:val="001607F7"/>
    <w:rsid w:val="0018007D"/>
    <w:rsid w:val="001905C3"/>
    <w:rsid w:val="001910A2"/>
    <w:rsid w:val="001968BA"/>
    <w:rsid w:val="001B5833"/>
    <w:rsid w:val="001B6A4A"/>
    <w:rsid w:val="001C1D7A"/>
    <w:rsid w:val="001D2567"/>
    <w:rsid w:val="001D667A"/>
    <w:rsid w:val="001E36C0"/>
    <w:rsid w:val="001F13C3"/>
    <w:rsid w:val="001F2282"/>
    <w:rsid w:val="001F647C"/>
    <w:rsid w:val="00200224"/>
    <w:rsid w:val="00216C2F"/>
    <w:rsid w:val="00230A06"/>
    <w:rsid w:val="00232F80"/>
    <w:rsid w:val="0024548B"/>
    <w:rsid w:val="00245B0F"/>
    <w:rsid w:val="00246959"/>
    <w:rsid w:val="00250E2B"/>
    <w:rsid w:val="002604E5"/>
    <w:rsid w:val="0026432D"/>
    <w:rsid w:val="00276F4C"/>
    <w:rsid w:val="002770AD"/>
    <w:rsid w:val="002B0452"/>
    <w:rsid w:val="002C1C74"/>
    <w:rsid w:val="002C3CD4"/>
    <w:rsid w:val="002C6F01"/>
    <w:rsid w:val="002C7ECA"/>
    <w:rsid w:val="002D5582"/>
    <w:rsid w:val="002E14B2"/>
    <w:rsid w:val="00301695"/>
    <w:rsid w:val="00310FDF"/>
    <w:rsid w:val="003222D7"/>
    <w:rsid w:val="00322A89"/>
    <w:rsid w:val="00327128"/>
    <w:rsid w:val="00327C64"/>
    <w:rsid w:val="00344492"/>
    <w:rsid w:val="0035171A"/>
    <w:rsid w:val="00357072"/>
    <w:rsid w:val="003666D0"/>
    <w:rsid w:val="003777A0"/>
    <w:rsid w:val="003854CA"/>
    <w:rsid w:val="0039366F"/>
    <w:rsid w:val="003A20AB"/>
    <w:rsid w:val="003B6C6A"/>
    <w:rsid w:val="003C2F66"/>
    <w:rsid w:val="003D5278"/>
    <w:rsid w:val="003F0646"/>
    <w:rsid w:val="003F5A7E"/>
    <w:rsid w:val="00414634"/>
    <w:rsid w:val="00420DB4"/>
    <w:rsid w:val="00430BA3"/>
    <w:rsid w:val="00431DC1"/>
    <w:rsid w:val="004403B1"/>
    <w:rsid w:val="00440F87"/>
    <w:rsid w:val="004477D9"/>
    <w:rsid w:val="00461B9E"/>
    <w:rsid w:val="00470A2B"/>
    <w:rsid w:val="00484844"/>
    <w:rsid w:val="00494B3C"/>
    <w:rsid w:val="004A0CEB"/>
    <w:rsid w:val="004A1324"/>
    <w:rsid w:val="004A24C6"/>
    <w:rsid w:val="004A2505"/>
    <w:rsid w:val="004B1707"/>
    <w:rsid w:val="004B1CEE"/>
    <w:rsid w:val="004B30EF"/>
    <w:rsid w:val="004C4098"/>
    <w:rsid w:val="004F3193"/>
    <w:rsid w:val="00501B34"/>
    <w:rsid w:val="00503A24"/>
    <w:rsid w:val="00504BDE"/>
    <w:rsid w:val="00505A98"/>
    <w:rsid w:val="00506AC6"/>
    <w:rsid w:val="00514350"/>
    <w:rsid w:val="00516500"/>
    <w:rsid w:val="00524D3C"/>
    <w:rsid w:val="0052627E"/>
    <w:rsid w:val="005314ED"/>
    <w:rsid w:val="00533B0E"/>
    <w:rsid w:val="00541657"/>
    <w:rsid w:val="00545785"/>
    <w:rsid w:val="00550184"/>
    <w:rsid w:val="00551C33"/>
    <w:rsid w:val="00552728"/>
    <w:rsid w:val="00556676"/>
    <w:rsid w:val="0056488B"/>
    <w:rsid w:val="00575A55"/>
    <w:rsid w:val="005808D4"/>
    <w:rsid w:val="005904D3"/>
    <w:rsid w:val="005A3857"/>
    <w:rsid w:val="005B011E"/>
    <w:rsid w:val="005C3F41"/>
    <w:rsid w:val="005D0062"/>
    <w:rsid w:val="005D0B5A"/>
    <w:rsid w:val="005D335F"/>
    <w:rsid w:val="005D4B3B"/>
    <w:rsid w:val="005D5257"/>
    <w:rsid w:val="005D64B9"/>
    <w:rsid w:val="005F3E6B"/>
    <w:rsid w:val="005F5284"/>
    <w:rsid w:val="0061325A"/>
    <w:rsid w:val="00613EC9"/>
    <w:rsid w:val="00620F70"/>
    <w:rsid w:val="006459E3"/>
    <w:rsid w:val="00647011"/>
    <w:rsid w:val="0065534F"/>
    <w:rsid w:val="00656483"/>
    <w:rsid w:val="0066088A"/>
    <w:rsid w:val="00675192"/>
    <w:rsid w:val="00677420"/>
    <w:rsid w:val="0068448A"/>
    <w:rsid w:val="00690967"/>
    <w:rsid w:val="00691455"/>
    <w:rsid w:val="00693EB5"/>
    <w:rsid w:val="00697A85"/>
    <w:rsid w:val="006A5BC3"/>
    <w:rsid w:val="006C0643"/>
    <w:rsid w:val="006C56C7"/>
    <w:rsid w:val="006D154F"/>
    <w:rsid w:val="006D3872"/>
    <w:rsid w:val="006F3F01"/>
    <w:rsid w:val="007070FC"/>
    <w:rsid w:val="007165D7"/>
    <w:rsid w:val="00721F27"/>
    <w:rsid w:val="00731E7D"/>
    <w:rsid w:val="0073699A"/>
    <w:rsid w:val="00741E11"/>
    <w:rsid w:val="00743DC9"/>
    <w:rsid w:val="00745CDB"/>
    <w:rsid w:val="00752655"/>
    <w:rsid w:val="00755531"/>
    <w:rsid w:val="00755969"/>
    <w:rsid w:val="007641B3"/>
    <w:rsid w:val="007728E0"/>
    <w:rsid w:val="00773D25"/>
    <w:rsid w:val="00785D32"/>
    <w:rsid w:val="00786432"/>
    <w:rsid w:val="00795A5C"/>
    <w:rsid w:val="007A2318"/>
    <w:rsid w:val="007A3E69"/>
    <w:rsid w:val="007A72B1"/>
    <w:rsid w:val="007B6083"/>
    <w:rsid w:val="007C1529"/>
    <w:rsid w:val="007C233D"/>
    <w:rsid w:val="007D75A2"/>
    <w:rsid w:val="007E3386"/>
    <w:rsid w:val="007F0102"/>
    <w:rsid w:val="007F0DB4"/>
    <w:rsid w:val="007F1609"/>
    <w:rsid w:val="007F7422"/>
    <w:rsid w:val="008011BC"/>
    <w:rsid w:val="008021DE"/>
    <w:rsid w:val="00810E82"/>
    <w:rsid w:val="00820912"/>
    <w:rsid w:val="00824BF6"/>
    <w:rsid w:val="00827B21"/>
    <w:rsid w:val="008334DC"/>
    <w:rsid w:val="008525D3"/>
    <w:rsid w:val="008671E8"/>
    <w:rsid w:val="008676F3"/>
    <w:rsid w:val="00873B45"/>
    <w:rsid w:val="00874333"/>
    <w:rsid w:val="008813C0"/>
    <w:rsid w:val="00881ED5"/>
    <w:rsid w:val="00883602"/>
    <w:rsid w:val="00897D95"/>
    <w:rsid w:val="008A1108"/>
    <w:rsid w:val="008B0D0E"/>
    <w:rsid w:val="008B1C88"/>
    <w:rsid w:val="008B34B7"/>
    <w:rsid w:val="008B4D57"/>
    <w:rsid w:val="008D0296"/>
    <w:rsid w:val="008D13AE"/>
    <w:rsid w:val="008E5880"/>
    <w:rsid w:val="008E6B46"/>
    <w:rsid w:val="008F76B7"/>
    <w:rsid w:val="00901DAE"/>
    <w:rsid w:val="00921B89"/>
    <w:rsid w:val="00923407"/>
    <w:rsid w:val="00931192"/>
    <w:rsid w:val="0093524D"/>
    <w:rsid w:val="009405D2"/>
    <w:rsid w:val="00942268"/>
    <w:rsid w:val="009633DF"/>
    <w:rsid w:val="009743C3"/>
    <w:rsid w:val="00985D6F"/>
    <w:rsid w:val="00993768"/>
    <w:rsid w:val="009A02B7"/>
    <w:rsid w:val="009B2993"/>
    <w:rsid w:val="009C2EA1"/>
    <w:rsid w:val="009C7540"/>
    <w:rsid w:val="009E5B9E"/>
    <w:rsid w:val="009E7E46"/>
    <w:rsid w:val="009F7D91"/>
    <w:rsid w:val="00A01E08"/>
    <w:rsid w:val="00A04733"/>
    <w:rsid w:val="00A16FAF"/>
    <w:rsid w:val="00A347AA"/>
    <w:rsid w:val="00A832CB"/>
    <w:rsid w:val="00A93332"/>
    <w:rsid w:val="00A938E5"/>
    <w:rsid w:val="00A94C39"/>
    <w:rsid w:val="00AA3B2E"/>
    <w:rsid w:val="00AA3F7B"/>
    <w:rsid w:val="00AA7825"/>
    <w:rsid w:val="00AD2340"/>
    <w:rsid w:val="00AD42CD"/>
    <w:rsid w:val="00AE19A4"/>
    <w:rsid w:val="00AE57D6"/>
    <w:rsid w:val="00AE6874"/>
    <w:rsid w:val="00AF2452"/>
    <w:rsid w:val="00B00DD5"/>
    <w:rsid w:val="00B00EE7"/>
    <w:rsid w:val="00B03277"/>
    <w:rsid w:val="00B07E9F"/>
    <w:rsid w:val="00B108BA"/>
    <w:rsid w:val="00B232CA"/>
    <w:rsid w:val="00B24F84"/>
    <w:rsid w:val="00B27425"/>
    <w:rsid w:val="00B31AF0"/>
    <w:rsid w:val="00B351C2"/>
    <w:rsid w:val="00B3624D"/>
    <w:rsid w:val="00B50530"/>
    <w:rsid w:val="00B606E4"/>
    <w:rsid w:val="00B60E6C"/>
    <w:rsid w:val="00B6304C"/>
    <w:rsid w:val="00B65775"/>
    <w:rsid w:val="00B658E3"/>
    <w:rsid w:val="00B66C2F"/>
    <w:rsid w:val="00B7734D"/>
    <w:rsid w:val="00B779F5"/>
    <w:rsid w:val="00B90301"/>
    <w:rsid w:val="00B90F4E"/>
    <w:rsid w:val="00B91EC7"/>
    <w:rsid w:val="00B9226D"/>
    <w:rsid w:val="00BA0264"/>
    <w:rsid w:val="00BA1D79"/>
    <w:rsid w:val="00BA70E7"/>
    <w:rsid w:val="00BB735D"/>
    <w:rsid w:val="00BC2357"/>
    <w:rsid w:val="00BC36DA"/>
    <w:rsid w:val="00BC67C9"/>
    <w:rsid w:val="00BC7208"/>
    <w:rsid w:val="00BD1D6F"/>
    <w:rsid w:val="00BE1942"/>
    <w:rsid w:val="00BE34B1"/>
    <w:rsid w:val="00BE5A42"/>
    <w:rsid w:val="00BE70D0"/>
    <w:rsid w:val="00C07202"/>
    <w:rsid w:val="00C13689"/>
    <w:rsid w:val="00C166C9"/>
    <w:rsid w:val="00C359A9"/>
    <w:rsid w:val="00C5064D"/>
    <w:rsid w:val="00C57AFD"/>
    <w:rsid w:val="00C6550E"/>
    <w:rsid w:val="00C70772"/>
    <w:rsid w:val="00C70FD2"/>
    <w:rsid w:val="00C818C1"/>
    <w:rsid w:val="00C820A1"/>
    <w:rsid w:val="00C84932"/>
    <w:rsid w:val="00CC0302"/>
    <w:rsid w:val="00CD08B0"/>
    <w:rsid w:val="00CD2DAC"/>
    <w:rsid w:val="00CD62F2"/>
    <w:rsid w:val="00CE55FE"/>
    <w:rsid w:val="00CF1737"/>
    <w:rsid w:val="00CF5343"/>
    <w:rsid w:val="00CF53CA"/>
    <w:rsid w:val="00D05321"/>
    <w:rsid w:val="00D05F70"/>
    <w:rsid w:val="00D06C74"/>
    <w:rsid w:val="00D3160B"/>
    <w:rsid w:val="00D351BD"/>
    <w:rsid w:val="00D35EBE"/>
    <w:rsid w:val="00D37AE5"/>
    <w:rsid w:val="00D42232"/>
    <w:rsid w:val="00D507B5"/>
    <w:rsid w:val="00D56F7F"/>
    <w:rsid w:val="00D61A32"/>
    <w:rsid w:val="00D673C2"/>
    <w:rsid w:val="00D7332E"/>
    <w:rsid w:val="00D777A2"/>
    <w:rsid w:val="00D94F79"/>
    <w:rsid w:val="00D979B0"/>
    <w:rsid w:val="00DB711F"/>
    <w:rsid w:val="00DB7511"/>
    <w:rsid w:val="00DC41D9"/>
    <w:rsid w:val="00DD024B"/>
    <w:rsid w:val="00DD2852"/>
    <w:rsid w:val="00DE31E2"/>
    <w:rsid w:val="00DF07BA"/>
    <w:rsid w:val="00DF6BDE"/>
    <w:rsid w:val="00E02067"/>
    <w:rsid w:val="00E0347F"/>
    <w:rsid w:val="00E03E4B"/>
    <w:rsid w:val="00E10998"/>
    <w:rsid w:val="00E11DED"/>
    <w:rsid w:val="00E14D27"/>
    <w:rsid w:val="00E1732A"/>
    <w:rsid w:val="00E327C0"/>
    <w:rsid w:val="00E33436"/>
    <w:rsid w:val="00E359B9"/>
    <w:rsid w:val="00E44EA9"/>
    <w:rsid w:val="00E53060"/>
    <w:rsid w:val="00E844CE"/>
    <w:rsid w:val="00E91CC9"/>
    <w:rsid w:val="00EA0D6A"/>
    <w:rsid w:val="00EA55D6"/>
    <w:rsid w:val="00EB194B"/>
    <w:rsid w:val="00EB2ADF"/>
    <w:rsid w:val="00EC75C1"/>
    <w:rsid w:val="00EE6357"/>
    <w:rsid w:val="00EF0356"/>
    <w:rsid w:val="00EF3A10"/>
    <w:rsid w:val="00F11E1B"/>
    <w:rsid w:val="00F16709"/>
    <w:rsid w:val="00F27943"/>
    <w:rsid w:val="00F43E1C"/>
    <w:rsid w:val="00F44CCF"/>
    <w:rsid w:val="00F616A9"/>
    <w:rsid w:val="00F6186B"/>
    <w:rsid w:val="00F66F86"/>
    <w:rsid w:val="00F71EC1"/>
    <w:rsid w:val="00F8212F"/>
    <w:rsid w:val="00F82CC2"/>
    <w:rsid w:val="00F9264B"/>
    <w:rsid w:val="00FA52FB"/>
    <w:rsid w:val="00FB5BFD"/>
    <w:rsid w:val="00FD2E6F"/>
    <w:rsid w:val="00FE1154"/>
    <w:rsid w:val="00FE2225"/>
    <w:rsid w:val="00FE4AE3"/>
    <w:rsid w:val="00FF7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933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E7E46"/>
    <w:rPr>
      <w:color w:val="0000FF" w:themeColor="hyperlink"/>
      <w:u w:val="single"/>
    </w:rPr>
  </w:style>
  <w:style w:type="character" w:customStyle="1" w:styleId="anegp0gi0b9av8jahpyh">
    <w:name w:val="anegp0gi0b9av8jahpyh"/>
    <w:basedOn w:val="DefaultParagraphFont"/>
    <w:rsid w:val="00810E82"/>
  </w:style>
  <w:style w:type="paragraph" w:styleId="Header">
    <w:name w:val="header"/>
    <w:basedOn w:val="Normal"/>
    <w:link w:val="HeaderChar"/>
    <w:uiPriority w:val="99"/>
    <w:unhideWhenUsed/>
    <w:rsid w:val="00575A5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5A55"/>
  </w:style>
  <w:style w:type="paragraph" w:styleId="Footer">
    <w:name w:val="footer"/>
    <w:basedOn w:val="Normal"/>
    <w:link w:val="FooterChar"/>
    <w:uiPriority w:val="99"/>
    <w:unhideWhenUsed/>
    <w:rsid w:val="00575A5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5A55"/>
  </w:style>
  <w:style w:type="paragraph" w:styleId="BalloonText">
    <w:name w:val="Balloon Text"/>
    <w:basedOn w:val="Normal"/>
    <w:link w:val="BalloonTextChar"/>
    <w:uiPriority w:val="99"/>
    <w:semiHidden/>
    <w:unhideWhenUsed/>
    <w:rsid w:val="009743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43C3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B232CA"/>
    <w:rPr>
      <w:i/>
      <w:iCs/>
    </w:rPr>
  </w:style>
  <w:style w:type="paragraph" w:styleId="NormalWeb">
    <w:name w:val="Normal (Web)"/>
    <w:basedOn w:val="Normal"/>
    <w:uiPriority w:val="99"/>
    <w:unhideWhenUsed/>
    <w:rsid w:val="00B606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7165D7"/>
    <w:rPr>
      <w:color w:val="808080"/>
    </w:rPr>
  </w:style>
  <w:style w:type="paragraph" w:styleId="ListParagraph">
    <w:name w:val="List Paragraph"/>
    <w:basedOn w:val="Normal"/>
    <w:uiPriority w:val="34"/>
    <w:qFormat/>
    <w:rsid w:val="00BD1D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933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E7E46"/>
    <w:rPr>
      <w:color w:val="0000FF" w:themeColor="hyperlink"/>
      <w:u w:val="single"/>
    </w:rPr>
  </w:style>
  <w:style w:type="character" w:customStyle="1" w:styleId="anegp0gi0b9av8jahpyh">
    <w:name w:val="anegp0gi0b9av8jahpyh"/>
    <w:basedOn w:val="DefaultParagraphFont"/>
    <w:rsid w:val="00810E82"/>
  </w:style>
  <w:style w:type="paragraph" w:styleId="Header">
    <w:name w:val="header"/>
    <w:basedOn w:val="Normal"/>
    <w:link w:val="HeaderChar"/>
    <w:uiPriority w:val="99"/>
    <w:unhideWhenUsed/>
    <w:rsid w:val="00575A5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5A55"/>
  </w:style>
  <w:style w:type="paragraph" w:styleId="Footer">
    <w:name w:val="footer"/>
    <w:basedOn w:val="Normal"/>
    <w:link w:val="FooterChar"/>
    <w:uiPriority w:val="99"/>
    <w:unhideWhenUsed/>
    <w:rsid w:val="00575A5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5A55"/>
  </w:style>
  <w:style w:type="paragraph" w:styleId="BalloonText">
    <w:name w:val="Balloon Text"/>
    <w:basedOn w:val="Normal"/>
    <w:link w:val="BalloonTextChar"/>
    <w:uiPriority w:val="99"/>
    <w:semiHidden/>
    <w:unhideWhenUsed/>
    <w:rsid w:val="009743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43C3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B232CA"/>
    <w:rPr>
      <w:i/>
      <w:iCs/>
    </w:rPr>
  </w:style>
  <w:style w:type="paragraph" w:styleId="NormalWeb">
    <w:name w:val="Normal (Web)"/>
    <w:basedOn w:val="Normal"/>
    <w:uiPriority w:val="99"/>
    <w:unhideWhenUsed/>
    <w:rsid w:val="00B606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7165D7"/>
    <w:rPr>
      <w:color w:val="808080"/>
    </w:rPr>
  </w:style>
  <w:style w:type="paragraph" w:styleId="ListParagraph">
    <w:name w:val="List Paragraph"/>
    <w:basedOn w:val="Normal"/>
    <w:uiPriority w:val="34"/>
    <w:qFormat/>
    <w:rsid w:val="00BD1D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914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1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59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6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2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53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7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gayane.harutyunyan@asue.am" TargetMode="External"/><Relationship Id="rId18" Type="http://schemas.openxmlformats.org/officeDocument/2006/relationships/hyperlink" Target="mailto:gayane.harutyunyan@asue.am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loc.gov/catdir/description/wiley037/2003269697.html" TargetMode="Externa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yperlink" Target="mailto:info@asue.am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asue.am/ru/faculty/marqet/econ-comp-sci-and-inform-ystems" TargetMode="External"/><Relationship Id="rId20" Type="http://schemas.openxmlformats.org/officeDocument/2006/relationships/hyperlink" Target="https://www.ijfifsa.ir/article_129421_d3b27ed741dac180907f46f53523b5a3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24" Type="http://schemas.openxmlformats.org/officeDocument/2006/relationships/hyperlink" Target="https://repository.iimb.ac.in/bitstream/123456789/490/1/wp.iimb.149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ida.atanyan@asue.am" TargetMode="External"/><Relationship Id="rId23" Type="http://schemas.openxmlformats.org/officeDocument/2006/relationships/hyperlink" Target="https://www.ijstr.org/final-print/mar2020/Concept-Of-Economic-Value-Added-And-Its-Application-In-Commercial-Banks.pdf" TargetMode="External"/><Relationship Id="rId10" Type="http://schemas.openxmlformats.org/officeDocument/2006/relationships/chart" Target="charts/chart3.xml"/><Relationship Id="rId19" Type="http://schemas.openxmlformats.org/officeDocument/2006/relationships/hyperlink" Target="mailto:aida.atanyan@asue.am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mailto:info@asue.am" TargetMode="External"/><Relationship Id="rId22" Type="http://schemas.openxmlformats.org/officeDocument/2006/relationships/hyperlink" Target="https://www.nbs.sk/_img/documents/biatec/kislan.pdf" TargetMode="Externa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Капитал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Sheet1!$B$2:$B$12</c:f>
              <c:numCache>
                <c:formatCode>_-* #,##0\ _₽_-;\-* #,##0\ _₽_-;_-* "-"??\ _₽_-;_-@_-</c:formatCode>
                <c:ptCount val="11"/>
                <c:pt idx="0">
                  <c:v>42354</c:v>
                </c:pt>
                <c:pt idx="1">
                  <c:v>59323.553</c:v>
                </c:pt>
                <c:pt idx="2">
                  <c:v>64408.800000000003</c:v>
                </c:pt>
                <c:pt idx="3">
                  <c:v>69941.357999999993</c:v>
                </c:pt>
                <c:pt idx="4">
                  <c:v>93076.370999999999</c:v>
                </c:pt>
                <c:pt idx="5">
                  <c:v>101227.07799999999</c:v>
                </c:pt>
                <c:pt idx="6">
                  <c:v>109705.602</c:v>
                </c:pt>
                <c:pt idx="7">
                  <c:v>128931.249</c:v>
                </c:pt>
                <c:pt idx="8">
                  <c:v>172051.54500000001</c:v>
                </c:pt>
                <c:pt idx="9">
                  <c:v>195787.33499999999</c:v>
                </c:pt>
                <c:pt idx="10">
                  <c:v>256288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Активы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Sheet1!$C$2:$C$12</c:f>
              <c:numCache>
                <c:formatCode>_-* #,##0\ _₽_-;\-* #,##0\ _₽_-;_-* "-"??\ _₽_-;_-@_-</c:formatCode>
                <c:ptCount val="11"/>
                <c:pt idx="0">
                  <c:v>399744</c:v>
                </c:pt>
                <c:pt idx="1">
                  <c:v>515816</c:v>
                </c:pt>
                <c:pt idx="2">
                  <c:v>718281</c:v>
                </c:pt>
                <c:pt idx="3">
                  <c:v>677722</c:v>
                </c:pt>
                <c:pt idx="4">
                  <c:v>775896</c:v>
                </c:pt>
                <c:pt idx="5">
                  <c:v>968081</c:v>
                </c:pt>
                <c:pt idx="6">
                  <c:v>1090641</c:v>
                </c:pt>
                <c:pt idx="7">
                  <c:v>1096721</c:v>
                </c:pt>
                <c:pt idx="8">
                  <c:v>1251829</c:v>
                </c:pt>
                <c:pt idx="9">
                  <c:v>1409581</c:v>
                </c:pt>
                <c:pt idx="10">
                  <c:v>1882507</c:v>
                </c:pt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Кредиты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Sheet1!$D$2:$D$12</c:f>
              <c:numCache>
                <c:formatCode>_-* #,##0\ _₽_-;\-* #,##0\ _₽_-;_-* "-"??\ _₽_-;_-@_-</c:formatCode>
                <c:ptCount val="11"/>
                <c:pt idx="0">
                  <c:v>278808</c:v>
                </c:pt>
                <c:pt idx="1">
                  <c:v>305613</c:v>
                </c:pt>
                <c:pt idx="2">
                  <c:v>513280</c:v>
                </c:pt>
                <c:pt idx="3">
                  <c:v>479640</c:v>
                </c:pt>
                <c:pt idx="4">
                  <c:v>547943</c:v>
                </c:pt>
                <c:pt idx="5">
                  <c:v>585741</c:v>
                </c:pt>
                <c:pt idx="6">
                  <c:v>696495</c:v>
                </c:pt>
                <c:pt idx="7">
                  <c:v>673086</c:v>
                </c:pt>
                <c:pt idx="8">
                  <c:v>735543</c:v>
                </c:pt>
                <c:pt idx="9">
                  <c:v>984746</c:v>
                </c:pt>
                <c:pt idx="10">
                  <c:v>1309937</c:v>
                </c:pt>
              </c:numCache>
            </c:numRef>
          </c:val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Ценные бумаги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Sheet1!$E$2:$E$12</c:f>
              <c:numCache>
                <c:formatCode>_-* #,##0\ _₽_-;\-* #,##0\ _₽_-;_-* "-"??\ _₽_-;_-@_-</c:formatCode>
                <c:ptCount val="11"/>
                <c:pt idx="0">
                  <c:v>24170</c:v>
                </c:pt>
                <c:pt idx="1">
                  <c:v>36292</c:v>
                </c:pt>
                <c:pt idx="2">
                  <c:v>58209</c:v>
                </c:pt>
                <c:pt idx="3">
                  <c:v>66272</c:v>
                </c:pt>
                <c:pt idx="4">
                  <c:v>63989</c:v>
                </c:pt>
                <c:pt idx="5">
                  <c:v>76162</c:v>
                </c:pt>
                <c:pt idx="6">
                  <c:v>89477</c:v>
                </c:pt>
                <c:pt idx="7">
                  <c:v>73924</c:v>
                </c:pt>
                <c:pt idx="8">
                  <c:v>224785</c:v>
                </c:pt>
                <c:pt idx="9">
                  <c:v>153737</c:v>
                </c:pt>
                <c:pt idx="10">
                  <c:v>204472</c:v>
                </c:pt>
              </c:numCache>
            </c:numRef>
          </c:val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Вклады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Sheet1!$F$2:$F$12</c:f>
              <c:numCache>
                <c:formatCode>_-* #,##0\ _₽_-;\-* #,##0\ _₽_-;_-* "-"??\ _₽_-;_-@_-</c:formatCode>
                <c:ptCount val="11"/>
                <c:pt idx="0">
                  <c:v>208696</c:v>
                </c:pt>
                <c:pt idx="1">
                  <c:v>294012</c:v>
                </c:pt>
                <c:pt idx="2">
                  <c:v>375170</c:v>
                </c:pt>
                <c:pt idx="3">
                  <c:v>414608</c:v>
                </c:pt>
                <c:pt idx="4">
                  <c:v>399086</c:v>
                </c:pt>
                <c:pt idx="5">
                  <c:v>593223</c:v>
                </c:pt>
                <c:pt idx="6">
                  <c:v>598960</c:v>
                </c:pt>
                <c:pt idx="7">
                  <c:v>600614</c:v>
                </c:pt>
                <c:pt idx="8">
                  <c:v>784636</c:v>
                </c:pt>
                <c:pt idx="9">
                  <c:v>907749</c:v>
                </c:pt>
                <c:pt idx="10">
                  <c:v>1122212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2126464"/>
        <c:axId val="163250560"/>
      </c:barChart>
      <c:lineChart>
        <c:grouping val="standard"/>
        <c:varyColors val="0"/>
        <c:ser>
          <c:idx val="5"/>
          <c:order val="5"/>
          <c:tx>
            <c:strRef>
              <c:f>Sheet1!$G$1</c:f>
              <c:strCache>
                <c:ptCount val="1"/>
                <c:pt idx="0">
                  <c:v>NOPAT</c:v>
                </c:pt>
              </c:strCache>
            </c:strRef>
          </c:tx>
          <c:marker>
            <c:symbol val="none"/>
          </c:marker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Sheet1!$G$2:$G$12</c:f>
              <c:numCache>
                <c:formatCode>_-* #,##0\ _₽_-;\-* #,##0\ _₽_-;_-* "-"??\ _₽_-;_-@_-</c:formatCode>
                <c:ptCount val="11"/>
                <c:pt idx="0">
                  <c:v>5831.2000000000007</c:v>
                </c:pt>
                <c:pt idx="1">
                  <c:v>8108.6</c:v>
                </c:pt>
                <c:pt idx="2">
                  <c:v>9768.2505999999994</c:v>
                </c:pt>
                <c:pt idx="3">
                  <c:v>11397.239600000001</c:v>
                </c:pt>
                <c:pt idx="4">
                  <c:v>12768.530200000001</c:v>
                </c:pt>
                <c:pt idx="5">
                  <c:v>14497.353200000001</c:v>
                </c:pt>
                <c:pt idx="6">
                  <c:v>13701.841739999998</c:v>
                </c:pt>
                <c:pt idx="7">
                  <c:v>16919.69382</c:v>
                </c:pt>
                <c:pt idx="8">
                  <c:v>22758.855659999997</c:v>
                </c:pt>
                <c:pt idx="9">
                  <c:v>28069.776900000001</c:v>
                </c:pt>
                <c:pt idx="10">
                  <c:v>35428.14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3253632"/>
        <c:axId val="163252096"/>
      </c:lineChart>
      <c:catAx>
        <c:axId val="162126464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163250560"/>
        <c:crosses val="autoZero"/>
        <c:auto val="1"/>
        <c:lblAlgn val="ctr"/>
        <c:lblOffset val="100"/>
        <c:noMultiLvlLbl val="0"/>
      </c:catAx>
      <c:valAx>
        <c:axId val="163250560"/>
        <c:scaling>
          <c:orientation val="minMax"/>
        </c:scaling>
        <c:delete val="0"/>
        <c:axPos val="l"/>
        <c:majorGridlines/>
        <c:numFmt formatCode="_-* #,##0\ _₽_-;\-* #,##0\ _₽_-;_-* &quot;-&quot;??\ _₽_-;_-@_-" sourceLinked="1"/>
        <c:majorTickMark val="out"/>
        <c:minorTickMark val="none"/>
        <c:tickLblPos val="nextTo"/>
        <c:txPr>
          <a:bodyPr/>
          <a:lstStyle/>
          <a:p>
            <a:pPr>
              <a:defRPr sz="600"/>
            </a:pPr>
            <a:endParaRPr lang="en-US"/>
          </a:p>
        </c:txPr>
        <c:crossAx val="162126464"/>
        <c:crosses val="autoZero"/>
        <c:crossBetween val="between"/>
      </c:valAx>
      <c:valAx>
        <c:axId val="163252096"/>
        <c:scaling>
          <c:orientation val="minMax"/>
        </c:scaling>
        <c:delete val="0"/>
        <c:axPos val="r"/>
        <c:numFmt formatCode="_-* #,##0\ _₽_-;\-* #,##0\ _₽_-;_-* &quot;-&quot;??\ _₽_-;_-@_-" sourceLinked="1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163253632"/>
        <c:crosses val="max"/>
        <c:crossBetween val="between"/>
      </c:valAx>
      <c:catAx>
        <c:axId val="163253632"/>
        <c:scaling>
          <c:orientation val="minMax"/>
        </c:scaling>
        <c:delete val="1"/>
        <c:axPos val="b"/>
        <c:majorTickMark val="out"/>
        <c:minorTickMark val="none"/>
        <c:tickLblPos val="nextTo"/>
        <c:crossAx val="163252096"/>
        <c:crosses val="autoZero"/>
        <c:auto val="1"/>
        <c:lblAlgn val="ctr"/>
        <c:lblOffset val="100"/>
        <c:noMultiLvlLbl val="0"/>
      </c:catAx>
    </c:plotArea>
    <c:legend>
      <c:legendPos val="r"/>
      <c:overlay val="0"/>
      <c:txPr>
        <a:bodyPr/>
        <a:lstStyle/>
        <a:p>
          <a:pPr>
            <a:defRPr sz="600" i="1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ROE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Sheet1!$B$2:$B$12</c:f>
              <c:numCache>
                <c:formatCode>0.00%</c:formatCode>
                <c:ptCount val="11"/>
                <c:pt idx="0">
                  <c:v>3.4117202625489916E-2</c:v>
                </c:pt>
                <c:pt idx="1">
                  <c:v>8.1080780849387094E-2</c:v>
                </c:pt>
                <c:pt idx="2">
                  <c:v>9.6524077455254556E-2</c:v>
                </c:pt>
                <c:pt idx="3">
                  <c:v>0.10993495436562728</c:v>
                </c:pt>
                <c:pt idx="4">
                  <c:v>0.11999823241926783</c:v>
                </c:pt>
                <c:pt idx="5">
                  <c:v>0.11979008225447346</c:v>
                </c:pt>
                <c:pt idx="6">
                  <c:v>8.2037743159187076E-2</c:v>
                </c:pt>
                <c:pt idx="7">
                  <c:v>0.17803286773402777</c:v>
                </c:pt>
                <c:pt idx="8">
                  <c:v>0.25730079901345843</c:v>
                </c:pt>
                <c:pt idx="9">
                  <c:v>0.23547488401126662</c:v>
                </c:pt>
                <c:pt idx="10">
                  <c:v>0.23422477837432887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ROA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Sheet1!$C$2:$C$12</c:f>
              <c:numCache>
                <c:formatCode>0.00%</c:formatCode>
                <c:ptCount val="11"/>
                <c:pt idx="0">
                  <c:v>3.6148134806276017E-3</c:v>
                </c:pt>
                <c:pt idx="1">
                  <c:v>9.3250306310777489E-3</c:v>
                </c:pt>
                <c:pt idx="2">
                  <c:v>8.6553869585858454E-3</c:v>
                </c:pt>
                <c:pt idx="3">
                  <c:v>1.1345359896830854E-2</c:v>
                </c:pt>
                <c:pt idx="4">
                  <c:v>1.439497045995855E-2</c:v>
                </c:pt>
                <c:pt idx="5">
                  <c:v>1.252581137322187E-2</c:v>
                </c:pt>
                <c:pt idx="6">
                  <c:v>8.2520279358652381E-3</c:v>
                </c:pt>
                <c:pt idx="7">
                  <c:v>2.0929662147437682E-2</c:v>
                </c:pt>
                <c:pt idx="8">
                  <c:v>3.536345619090147E-2</c:v>
                </c:pt>
                <c:pt idx="9">
                  <c:v>3.2706882399805334E-2</c:v>
                </c:pt>
                <c:pt idx="10">
                  <c:v>3.1887796433160677E-2</c:v>
                </c:pt>
              </c:numCache>
            </c:numRef>
          </c:val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Spread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Sheet1!$E$2:$E$12</c:f>
              <c:numCache>
                <c:formatCode>0.00%</c:formatCode>
                <c:ptCount val="11"/>
                <c:pt idx="0">
                  <c:v>3.668733324413212E-2</c:v>
                </c:pt>
                <c:pt idx="1">
                  <c:v>4.5568151788930783E-2</c:v>
                </c:pt>
                <c:pt idx="2">
                  <c:v>9.0790838473777946E-3</c:v>
                </c:pt>
                <c:pt idx="3">
                  <c:v>2.8174170106959925E-2</c:v>
                </c:pt>
                <c:pt idx="4">
                  <c:v>3.0206665635427773E-2</c:v>
                </c:pt>
                <c:pt idx="5">
                  <c:v>5.3554545410473414E-2</c:v>
                </c:pt>
                <c:pt idx="6">
                  <c:v>4.4314943012183861E-2</c:v>
                </c:pt>
                <c:pt idx="7">
                  <c:v>5.116908976476163E-2</c:v>
                </c:pt>
                <c:pt idx="8">
                  <c:v>6.62630460279999E-2</c:v>
                </c:pt>
                <c:pt idx="9">
                  <c:v>6.7760836628992155E-2</c:v>
                </c:pt>
                <c:pt idx="10">
                  <c:v>6.0078013939709594E-2</c:v>
                </c:pt>
              </c:numCache>
            </c:numRef>
          </c:val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NIM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Sheet1!$F$2:$F$12</c:f>
              <c:numCache>
                <c:formatCode>0.00%</c:formatCode>
                <c:ptCount val="11"/>
                <c:pt idx="0">
                  <c:v>3.658591498559078E-2</c:v>
                </c:pt>
                <c:pt idx="1">
                  <c:v>2.8603222854661353E-2</c:v>
                </c:pt>
                <c:pt idx="2">
                  <c:v>2.0709517584343726E-2</c:v>
                </c:pt>
                <c:pt idx="3">
                  <c:v>2.7098423837502689E-2</c:v>
                </c:pt>
                <c:pt idx="4">
                  <c:v>3.3979619691298833E-2</c:v>
                </c:pt>
                <c:pt idx="5">
                  <c:v>3.2020839165317783E-2</c:v>
                </c:pt>
                <c:pt idx="6">
                  <c:v>3.2955246501827816E-2</c:v>
                </c:pt>
                <c:pt idx="7">
                  <c:v>3.4997322928985587E-2</c:v>
                </c:pt>
                <c:pt idx="8">
                  <c:v>3.7152108634645784E-2</c:v>
                </c:pt>
                <c:pt idx="9">
                  <c:v>4.9729816874659917E-2</c:v>
                </c:pt>
                <c:pt idx="10">
                  <c:v>4.6227716550323587E-2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6483968"/>
        <c:axId val="6485504"/>
      </c:barChart>
      <c:lineChart>
        <c:grouping val="standard"/>
        <c:varyColors val="0"/>
        <c:ser>
          <c:idx val="2"/>
          <c:order val="2"/>
          <c:tx>
            <c:strRef>
              <c:f>Sheet1!$D$1</c:f>
              <c:strCache>
                <c:ptCount val="1"/>
                <c:pt idx="0">
                  <c:v>L</c:v>
                </c:pt>
              </c:strCache>
            </c:strRef>
          </c:tx>
          <c:marker>
            <c:symbol val="none"/>
          </c:marker>
          <c:dLbls>
            <c:txPr>
              <a:bodyPr/>
              <a:lstStyle/>
              <a:p>
                <a:pPr>
                  <a:defRPr sz="800" b="1" i="1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Sheet1!$D$2:$D$12</c:f>
              <c:numCache>
                <c:formatCode>_(* #,##0.00_);_(* \(#,##0.00\);_(* "-"??_);_(@_)</c:formatCode>
                <c:ptCount val="11"/>
                <c:pt idx="0">
                  <c:v>9.4381640458988532</c:v>
                </c:pt>
                <c:pt idx="1">
                  <c:v>8.6949613419142313</c:v>
                </c:pt>
                <c:pt idx="2">
                  <c:v>11.151907813839102</c:v>
                </c:pt>
                <c:pt idx="3">
                  <c:v>9.6898604685370859</c:v>
                </c:pt>
                <c:pt idx="4">
                  <c:v>8.3361221721891159</c:v>
                </c:pt>
                <c:pt idx="5">
                  <c:v>9.5634588998014944</c:v>
                </c:pt>
                <c:pt idx="6">
                  <c:v>9.941525137430995</c:v>
                </c:pt>
                <c:pt idx="7">
                  <c:v>8.5062466120994458</c:v>
                </c:pt>
                <c:pt idx="8">
                  <c:v>7.2758951394478899</c:v>
                </c:pt>
                <c:pt idx="9">
                  <c:v>7.1995514929502464</c:v>
                </c:pt>
                <c:pt idx="10">
                  <c:v>7.3452795292795603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672000"/>
        <c:axId val="6487040"/>
      </c:lineChart>
      <c:catAx>
        <c:axId val="6483968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6485504"/>
        <c:crosses val="autoZero"/>
        <c:auto val="1"/>
        <c:lblAlgn val="ctr"/>
        <c:lblOffset val="100"/>
        <c:noMultiLvlLbl val="0"/>
      </c:catAx>
      <c:valAx>
        <c:axId val="6485504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6483968"/>
        <c:crosses val="autoZero"/>
        <c:crossBetween val="between"/>
      </c:valAx>
      <c:valAx>
        <c:axId val="6487040"/>
        <c:scaling>
          <c:orientation val="minMax"/>
        </c:scaling>
        <c:delete val="0"/>
        <c:axPos val="r"/>
        <c:numFmt formatCode="_(* #,##0.00_);_(* \(#,##0.00\);_(* &quot;-&quot;??_);_(@_)" sourceLinked="1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8672000"/>
        <c:crosses val="max"/>
        <c:crossBetween val="between"/>
      </c:valAx>
      <c:catAx>
        <c:axId val="8672000"/>
        <c:scaling>
          <c:orientation val="minMax"/>
        </c:scaling>
        <c:delete val="1"/>
        <c:axPos val="b"/>
        <c:majorTickMark val="out"/>
        <c:minorTickMark val="none"/>
        <c:tickLblPos val="nextTo"/>
        <c:crossAx val="6487040"/>
        <c:crosses val="autoZero"/>
        <c:auto val="1"/>
        <c:lblAlgn val="ctr"/>
        <c:lblOffset val="100"/>
        <c:noMultiLvlLbl val="0"/>
      </c:catAx>
    </c:plotArea>
    <c:legend>
      <c:legendPos val="r"/>
      <c:overlay val="0"/>
      <c:txPr>
        <a:bodyPr/>
        <a:lstStyle/>
        <a:p>
          <a:pPr>
            <a:defRPr sz="600" i="1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Рыночная ставка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Sheet1!$B$2:$B$12</c:f>
              <c:numCache>
                <c:formatCode>0%</c:formatCode>
                <c:ptCount val="11"/>
                <c:pt idx="0">
                  <c:v>0.115925</c:v>
                </c:pt>
                <c:pt idx="1">
                  <c:v>8.2521874999999995E-2</c:v>
                </c:pt>
                <c:pt idx="2">
                  <c:v>5.2521875000000003E-2</c:v>
                </c:pt>
                <c:pt idx="3">
                  <c:v>6.7821875000000004E-2</c:v>
                </c:pt>
                <c:pt idx="4">
                  <c:v>3.0778125E-2</c:v>
                </c:pt>
                <c:pt idx="5">
                  <c:v>2.8115625000000002E-2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0.61362499999999998</c:v>
                </c:pt>
                <c:pt idx="10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Безрисковая ставка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Sheet1!$C$2:$C$12</c:f>
              <c:numCache>
                <c:formatCode>0%</c:formatCode>
                <c:ptCount val="11"/>
                <c:pt idx="0" formatCode="0.00%">
                  <c:v>7.9000000000000001E-2</c:v>
                </c:pt>
                <c:pt idx="1">
                  <c:v>0.12</c:v>
                </c:pt>
                <c:pt idx="2" formatCode="0.00%">
                  <c:v>7.9000000000000001E-2</c:v>
                </c:pt>
                <c:pt idx="3">
                  <c:v>0.06</c:v>
                </c:pt>
                <c:pt idx="4">
                  <c:v>0.06</c:v>
                </c:pt>
                <c:pt idx="5" formatCode="0.00%">
                  <c:v>5.8000000000000003E-2</c:v>
                </c:pt>
                <c:pt idx="6">
                  <c:v>7.0000000000000007E-2</c:v>
                </c:pt>
                <c:pt idx="7" formatCode="0.00%">
                  <c:v>9.0999999999999998E-2</c:v>
                </c:pt>
                <c:pt idx="8" formatCode="0.00%">
                  <c:v>0.11899999999999999</c:v>
                </c:pt>
                <c:pt idx="9" formatCode="0.00%">
                  <c:v>9.3700000000000006E-2</c:v>
                </c:pt>
                <c:pt idx="10" formatCode="0.00%">
                  <c:v>9.2700000000000005E-2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3798016"/>
        <c:axId val="163812096"/>
      </c:barChart>
      <c:lineChart>
        <c:grouping val="standard"/>
        <c:varyColors val="0"/>
        <c:ser>
          <c:idx val="2"/>
          <c:order val="2"/>
          <c:tx>
            <c:strRef>
              <c:f>Sheet1!$D$1</c:f>
              <c:strCache>
                <c:ptCount val="1"/>
                <c:pt idx="0">
                  <c:v>CAPM</c:v>
                </c:pt>
              </c:strCache>
            </c:strRef>
          </c:tx>
          <c:marker>
            <c:symbol val="none"/>
          </c:marker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Sheet1!$D$2:$D$12</c:f>
              <c:numCache>
                <c:formatCode>0.0%</c:formatCode>
                <c:ptCount val="11"/>
                <c:pt idx="0">
                  <c:v>0.115925</c:v>
                </c:pt>
                <c:pt idx="1">
                  <c:v>8.2521874999999995E-2</c:v>
                </c:pt>
                <c:pt idx="2">
                  <c:v>5.2521875000000003E-2</c:v>
                </c:pt>
                <c:pt idx="3">
                  <c:v>6.7821875000000004E-2</c:v>
                </c:pt>
                <c:pt idx="4">
                  <c:v>3.0778125E-2</c:v>
                </c:pt>
                <c:pt idx="5">
                  <c:v>2.8115625000000002E-2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0.61362499999999998</c:v>
                </c:pt>
                <c:pt idx="10">
                  <c:v>0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3819520"/>
        <c:axId val="163813632"/>
      </c:lineChart>
      <c:catAx>
        <c:axId val="163798016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n-US"/>
          </a:p>
        </c:txPr>
        <c:crossAx val="163812096"/>
        <c:crosses val="autoZero"/>
        <c:auto val="1"/>
        <c:lblAlgn val="ctr"/>
        <c:lblOffset val="100"/>
        <c:noMultiLvlLbl val="0"/>
      </c:catAx>
      <c:valAx>
        <c:axId val="163812096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163798016"/>
        <c:crosses val="autoZero"/>
        <c:crossBetween val="between"/>
      </c:valAx>
      <c:valAx>
        <c:axId val="163813632"/>
        <c:scaling>
          <c:orientation val="minMax"/>
        </c:scaling>
        <c:delete val="0"/>
        <c:axPos val="r"/>
        <c:numFmt formatCode="0.0%" sourceLinked="1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163819520"/>
        <c:crosses val="max"/>
        <c:crossBetween val="between"/>
      </c:valAx>
      <c:catAx>
        <c:axId val="163819520"/>
        <c:scaling>
          <c:orientation val="minMax"/>
        </c:scaling>
        <c:delete val="1"/>
        <c:axPos val="b"/>
        <c:majorTickMark val="out"/>
        <c:minorTickMark val="none"/>
        <c:tickLblPos val="nextTo"/>
        <c:crossAx val="163813632"/>
        <c:crosses val="autoZero"/>
        <c:auto val="1"/>
        <c:lblAlgn val="ctr"/>
        <c:lblOffset val="100"/>
        <c:noMultiLvlLbl val="0"/>
      </c:catAx>
    </c:plotArea>
    <c:legend>
      <c:legendPos val="r"/>
      <c:overlay val="0"/>
      <c:txPr>
        <a:bodyPr/>
        <a:lstStyle/>
        <a:p>
          <a:pPr>
            <a:defRPr sz="700" i="1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Sheet1!$C$1</c:f>
              <c:strCache>
                <c:ptCount val="1"/>
                <c:pt idx="0">
                  <c:v>Стоимость инвестиционного капитала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Sheet1!$C$2:$C$12</c:f>
              <c:numCache>
                <c:formatCode>0%</c:formatCode>
                <c:ptCount val="11"/>
                <c:pt idx="0">
                  <c:v>0.115925</c:v>
                </c:pt>
                <c:pt idx="1">
                  <c:v>8.2521874999999995E-2</c:v>
                </c:pt>
                <c:pt idx="2">
                  <c:v>5.2521875000000003E-2</c:v>
                </c:pt>
                <c:pt idx="3">
                  <c:v>6.7821875000000004E-2</c:v>
                </c:pt>
                <c:pt idx="4">
                  <c:v>3.0778125E-2</c:v>
                </c:pt>
                <c:pt idx="5">
                  <c:v>2.8115625000000002E-2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0.61362499999999998</c:v>
                </c:pt>
                <c:pt idx="10">
                  <c:v>0</c:v>
                </c:pt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Стоимость долга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Sheet1!$D$2:$D$12</c:f>
              <c:numCache>
                <c:formatCode>0.00%</c:formatCode>
                <c:ptCount val="11"/>
                <c:pt idx="0">
                  <c:v>9.1700000000000004E-2</c:v>
                </c:pt>
                <c:pt idx="1">
                  <c:v>0.1212</c:v>
                </c:pt>
                <c:pt idx="2">
                  <c:v>0.121</c:v>
                </c:pt>
                <c:pt idx="3">
                  <c:v>0.113</c:v>
                </c:pt>
                <c:pt idx="4">
                  <c:v>0.09</c:v>
                </c:pt>
                <c:pt idx="5">
                  <c:v>0.09</c:v>
                </c:pt>
                <c:pt idx="6">
                  <c:v>8.7999999999999995E-2</c:v>
                </c:pt>
                <c:pt idx="7">
                  <c:v>9.2999999999999999E-2</c:v>
                </c:pt>
                <c:pt idx="8">
                  <c:v>9.2999999999999999E-2</c:v>
                </c:pt>
                <c:pt idx="9">
                  <c:v>9.3700000000000006E-2</c:v>
                </c:pt>
                <c:pt idx="10">
                  <c:v>9.2700000000000005E-2</c:v>
                </c:pt>
              </c:numCache>
            </c:numRef>
          </c:val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Ставка налога на прибыль</c:v>
                </c:pt>
              </c:strCache>
            </c:strRef>
          </c:tx>
          <c:invertIfNegative val="0"/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Sheet1!$E$2:$E$12</c:f>
              <c:numCache>
                <c:formatCode>0%</c:formatCode>
                <c:ptCount val="11"/>
                <c:pt idx="0">
                  <c:v>0.2</c:v>
                </c:pt>
                <c:pt idx="1">
                  <c:v>0.2</c:v>
                </c:pt>
                <c:pt idx="2">
                  <c:v>0.2</c:v>
                </c:pt>
                <c:pt idx="3">
                  <c:v>0.2</c:v>
                </c:pt>
                <c:pt idx="4">
                  <c:v>0.2</c:v>
                </c:pt>
                <c:pt idx="5">
                  <c:v>0.2</c:v>
                </c:pt>
                <c:pt idx="6">
                  <c:v>0.18</c:v>
                </c:pt>
                <c:pt idx="7">
                  <c:v>0.18</c:v>
                </c:pt>
                <c:pt idx="8">
                  <c:v>0.18</c:v>
                </c:pt>
                <c:pt idx="9">
                  <c:v>0.18</c:v>
                </c:pt>
                <c:pt idx="10">
                  <c:v>0.18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3270016"/>
        <c:axId val="163312768"/>
      </c:barChart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WACC</c:v>
                </c:pt>
              </c:strCache>
            </c:strRef>
          </c:tx>
          <c:marker>
            <c:symbol val="none"/>
          </c:marker>
          <c:dLbls>
            <c:txPr>
              <a:bodyPr/>
              <a:lstStyle/>
              <a:p>
                <a:pPr>
                  <a:defRPr sz="700" b="1" i="1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Sheet1!$B$2:$B$12</c:f>
              <c:numCache>
                <c:formatCode>0%</c:formatCode>
                <c:ptCount val="11"/>
                <c:pt idx="0">
                  <c:v>7.6189276049598131E-2</c:v>
                </c:pt>
                <c:pt idx="1">
                  <c:v>9.6011789591806146E-2</c:v>
                </c:pt>
                <c:pt idx="2">
                  <c:v>9.4728809473107162E-2</c:v>
                </c:pt>
                <c:pt idx="3">
                  <c:v>8.9267790384569889E-2</c:v>
                </c:pt>
                <c:pt idx="4">
                  <c:v>6.9864832625608109E-2</c:v>
                </c:pt>
                <c:pt idx="5">
                  <c:v>7.0187405350682672E-2</c:v>
                </c:pt>
                <c:pt idx="6">
                  <c:v>6.9510763948102766E-2</c:v>
                </c:pt>
                <c:pt idx="7">
                  <c:v>7.2202572347886143E-2</c:v>
                </c:pt>
                <c:pt idx="8">
                  <c:v>7.2601348172121438E-2</c:v>
                </c:pt>
                <c:pt idx="9">
                  <c:v>9.9878637060771963E-2</c:v>
                </c:pt>
                <c:pt idx="10">
                  <c:v>7.3551487694454284E-2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63336576"/>
        <c:axId val="163314304"/>
      </c:lineChart>
      <c:catAx>
        <c:axId val="163270016"/>
        <c:scaling>
          <c:orientation val="minMax"/>
        </c:scaling>
        <c:delete val="0"/>
        <c:axPos val="b"/>
        <c:majorTickMark val="out"/>
        <c:minorTickMark val="none"/>
        <c:tickLblPos val="nextTo"/>
        <c:crossAx val="163312768"/>
        <c:crosses val="autoZero"/>
        <c:auto val="1"/>
        <c:lblAlgn val="ctr"/>
        <c:lblOffset val="100"/>
        <c:noMultiLvlLbl val="0"/>
      </c:catAx>
      <c:valAx>
        <c:axId val="163312768"/>
        <c:scaling>
          <c:orientation val="minMax"/>
        </c:scaling>
        <c:delete val="0"/>
        <c:axPos val="l"/>
        <c:majorGridlines/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163270016"/>
        <c:crosses val="autoZero"/>
        <c:crossBetween val="between"/>
      </c:valAx>
      <c:valAx>
        <c:axId val="163314304"/>
        <c:scaling>
          <c:orientation val="minMax"/>
        </c:scaling>
        <c:delete val="0"/>
        <c:axPos val="r"/>
        <c:numFmt formatCode="0%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en-US"/>
          </a:p>
        </c:txPr>
        <c:crossAx val="163336576"/>
        <c:crosses val="max"/>
        <c:crossBetween val="between"/>
      </c:valAx>
      <c:catAx>
        <c:axId val="163336576"/>
        <c:scaling>
          <c:orientation val="minMax"/>
        </c:scaling>
        <c:delete val="1"/>
        <c:axPos val="b"/>
        <c:majorTickMark val="out"/>
        <c:minorTickMark val="none"/>
        <c:tickLblPos val="nextTo"/>
        <c:crossAx val="163314304"/>
        <c:crosses val="autoZero"/>
        <c:auto val="1"/>
        <c:lblAlgn val="ctr"/>
        <c:lblOffset val="100"/>
        <c:noMultiLvlLbl val="0"/>
      </c:catAx>
    </c:plotArea>
    <c:legend>
      <c:legendPos val="r"/>
      <c:overlay val="0"/>
      <c:txPr>
        <a:bodyPr/>
        <a:lstStyle/>
        <a:p>
          <a:pPr>
            <a:defRPr sz="700" i="1"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EVA</c:v>
                </c:pt>
              </c:strCache>
            </c:strRef>
          </c:tx>
          <c:invertIfNegative val="0"/>
          <c:trendline>
            <c:trendlineType val="poly"/>
            <c:order val="2"/>
            <c:forward val="1"/>
            <c:dispRSqr val="1"/>
            <c:dispEq val="1"/>
            <c:trendlineLbl>
              <c:layout>
                <c:manualLayout>
                  <c:x val="-7.5215562773614927E-3"/>
                  <c:y val="-0.14863873399591682"/>
                </c:manualLayout>
              </c:layout>
              <c:numFmt formatCode="General" sourceLinked="0"/>
              <c:txPr>
                <a:bodyPr/>
                <a:lstStyle/>
                <a:p>
                  <a:pPr>
                    <a:defRPr sz="800" b="1" i="1"/>
                  </a:pPr>
                  <a:endParaRPr lang="en-US"/>
                </a:p>
              </c:txPr>
            </c:trendlineLbl>
          </c:trendline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Sheet1!$B$2:$B$12</c:f>
              <c:numCache>
                <c:formatCode>_-* #,##0\ _₽_-;\-* #,##0\ _₽_-;_-* "-"??\ _₽_-;_-@_-</c:formatCode>
                <c:ptCount val="11"/>
                <c:pt idx="0">
                  <c:v>3892.4114923658772</c:v>
                </c:pt>
                <c:pt idx="1">
                  <c:v>5027.8697073677167</c:v>
                </c:pt>
                <c:pt idx="2">
                  <c:v>6728.68729043641</c:v>
                </c:pt>
                <c:pt idx="3">
                  <c:v>8532.9040099303056</c:v>
                </c:pt>
                <c:pt idx="4">
                  <c:v>10162.571943064819</c:v>
                </c:pt>
                <c:pt idx="5">
                  <c:v>11876.064172368056</c:v>
                </c:pt>
                <c:pt idx="6">
                  <c:v>11103.112319036229</c:v>
                </c:pt>
                <c:pt idx="7">
                  <c:v>12992.956922860212</c:v>
                </c:pt>
                <c:pt idx="8">
                  <c:v>18808.32590056218</c:v>
                </c:pt>
                <c:pt idx="9">
                  <c:v>22631.784626589211</c:v>
                </c:pt>
                <c:pt idx="10">
                  <c:v>31423.555700987741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86108544"/>
        <c:axId val="186114432"/>
      </c:barChart>
      <c:lineChart>
        <c:grouping val="standard"/>
        <c:varyColors val="0"/>
        <c:ser>
          <c:idx val="1"/>
          <c:order val="1"/>
          <c:tx>
            <c:strRef>
              <c:f>Sheet1!$C$1</c:f>
              <c:strCache>
                <c:ptCount val="1"/>
                <c:pt idx="0">
                  <c:v>DPS</c:v>
                </c:pt>
              </c:strCache>
            </c:strRef>
          </c:tx>
          <c:marker>
            <c:symbol val="none"/>
          </c:marker>
          <c:cat>
            <c:strRef>
              <c:f>Sheet1!$A$2:$A$12</c:f>
              <c:strCache>
                <c:ptCount val="11"/>
                <c:pt idx="0">
                  <c:v>2014г</c:v>
                </c:pt>
                <c:pt idx="1">
                  <c:v>2015г</c:v>
                </c:pt>
                <c:pt idx="2">
                  <c:v>2016г</c:v>
                </c:pt>
                <c:pt idx="3">
                  <c:v>2017г</c:v>
                </c:pt>
                <c:pt idx="4">
                  <c:v>2018г</c:v>
                </c:pt>
                <c:pt idx="5">
                  <c:v>2019г</c:v>
                </c:pt>
                <c:pt idx="6">
                  <c:v>2020г</c:v>
                </c:pt>
                <c:pt idx="7">
                  <c:v>2021г</c:v>
                </c:pt>
                <c:pt idx="8">
                  <c:v>2022г</c:v>
                </c:pt>
                <c:pt idx="9">
                  <c:v>2023г</c:v>
                </c:pt>
                <c:pt idx="10">
                  <c:v>2024г</c:v>
                </c:pt>
              </c:strCache>
            </c:strRef>
          </c:cat>
          <c:val>
            <c:numRef>
              <c:f>Sheet1!$C$2:$C$12</c:f>
              <c:numCache>
                <c:formatCode>_-* #,##0\ _₽_-;\-* #,##0\ _₽_-;_-* "-"??\ _₽_-;_-@_-</c:formatCode>
                <c:ptCount val="11"/>
                <c:pt idx="0">
                  <c:v>37096</c:v>
                </c:pt>
                <c:pt idx="1">
                  <c:v>26407</c:v>
                </c:pt>
                <c:pt idx="2">
                  <c:v>16807</c:v>
                </c:pt>
                <c:pt idx="3">
                  <c:v>21703</c:v>
                </c:pt>
                <c:pt idx="4">
                  <c:v>9849</c:v>
                </c:pt>
                <c:pt idx="5">
                  <c:v>8997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196360</c:v>
                </c:pt>
                <c:pt idx="10">
                  <c:v>0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86117504"/>
        <c:axId val="186115968"/>
      </c:lineChart>
      <c:catAx>
        <c:axId val="186108544"/>
        <c:scaling>
          <c:orientation val="minMax"/>
        </c:scaling>
        <c:delete val="0"/>
        <c:axPos val="b"/>
        <c:majorTickMark val="none"/>
        <c:minorTickMark val="none"/>
        <c:tickLblPos val="nextTo"/>
        <c:crossAx val="186114432"/>
        <c:crosses val="autoZero"/>
        <c:auto val="1"/>
        <c:lblAlgn val="ctr"/>
        <c:lblOffset val="100"/>
        <c:noMultiLvlLbl val="0"/>
      </c:catAx>
      <c:valAx>
        <c:axId val="186114432"/>
        <c:scaling>
          <c:orientation val="minMax"/>
        </c:scaling>
        <c:delete val="0"/>
        <c:axPos val="l"/>
        <c:majorGridlines/>
        <c:numFmt formatCode="_-* #,##0\ _₽_-;\-* #,##0\ _₽_-;_-* &quot;-&quot;??\ _₽_-;_-@_-" sourceLinked="1"/>
        <c:majorTickMark val="none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186108544"/>
        <c:crosses val="autoZero"/>
        <c:crossBetween val="between"/>
      </c:valAx>
      <c:valAx>
        <c:axId val="186115968"/>
        <c:scaling>
          <c:orientation val="minMax"/>
        </c:scaling>
        <c:delete val="0"/>
        <c:axPos val="r"/>
        <c:numFmt formatCode="_-* #,##0\ _₽_-;\-* #,##0\ _₽_-;_-* &quot;-&quot;??\ _₽_-;_-@_-" sourceLinked="1"/>
        <c:majorTickMark val="out"/>
        <c:minorTickMark val="none"/>
        <c:tickLblPos val="nextTo"/>
        <c:txPr>
          <a:bodyPr/>
          <a:lstStyle/>
          <a:p>
            <a:pPr>
              <a:defRPr sz="700"/>
            </a:pPr>
            <a:endParaRPr lang="en-US"/>
          </a:p>
        </c:txPr>
        <c:crossAx val="186117504"/>
        <c:crosses val="max"/>
        <c:crossBetween val="between"/>
      </c:valAx>
      <c:catAx>
        <c:axId val="186117504"/>
        <c:scaling>
          <c:orientation val="minMax"/>
        </c:scaling>
        <c:delete val="1"/>
        <c:axPos val="b"/>
        <c:majorTickMark val="out"/>
        <c:minorTickMark val="none"/>
        <c:tickLblPos val="nextTo"/>
        <c:crossAx val="186115968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800"/>
            </a:pPr>
            <a:endParaRPr lang="en-US"/>
          </a:p>
        </c:txPr>
      </c:dTable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787</TotalTime>
  <Pages>5</Pages>
  <Words>2182</Words>
  <Characters>12441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*</cp:lastModifiedBy>
  <cp:revision>134</cp:revision>
  <dcterms:created xsi:type="dcterms:W3CDTF">2025-04-22T09:16:00Z</dcterms:created>
  <dcterms:modified xsi:type="dcterms:W3CDTF">2025-05-02T09:47:00Z</dcterms:modified>
</cp:coreProperties>
</file>