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4549" w:rsidRPr="00764E04" w:rsidRDefault="003D1F69" w:rsidP="00A741BF">
      <w:pPr>
        <w:spacing w:after="0" w:line="240" w:lineRule="auto"/>
        <w:ind w:firstLine="709"/>
        <w:rPr>
          <w:rFonts w:ascii="Times New Roman" w:hAnsi="Times New Roman" w:cs="Times New Roman"/>
          <w:b/>
          <w:sz w:val="24"/>
          <w:szCs w:val="24"/>
        </w:rPr>
      </w:pPr>
      <w:r w:rsidRPr="00764E04">
        <w:rPr>
          <w:rFonts w:ascii="Times New Roman" w:hAnsi="Times New Roman" w:cs="Times New Roman"/>
          <w:b/>
          <w:sz w:val="24"/>
          <w:szCs w:val="24"/>
        </w:rPr>
        <w:t>УДК 338.43:636.2</w:t>
      </w:r>
    </w:p>
    <w:p w:rsidR="00C42E7B" w:rsidRPr="00764E04" w:rsidRDefault="00C42E7B" w:rsidP="00A741BF">
      <w:pPr>
        <w:spacing w:after="0" w:line="240" w:lineRule="auto"/>
        <w:ind w:firstLine="709"/>
        <w:rPr>
          <w:rFonts w:ascii="Times New Roman" w:hAnsi="Times New Roman" w:cs="Times New Roman"/>
          <w:b/>
          <w:sz w:val="24"/>
          <w:szCs w:val="24"/>
        </w:rPr>
      </w:pPr>
      <w:r w:rsidRPr="00764E04">
        <w:rPr>
          <w:rFonts w:ascii="Times New Roman" w:hAnsi="Times New Roman" w:cs="Times New Roman"/>
          <w:b/>
          <w:sz w:val="24"/>
          <w:szCs w:val="24"/>
        </w:rPr>
        <w:t>ББК 65.305.7</w:t>
      </w:r>
    </w:p>
    <w:p w:rsidR="006F507D" w:rsidRPr="006F507D" w:rsidRDefault="006F507D" w:rsidP="006F507D">
      <w:pPr>
        <w:spacing w:after="0" w:line="240" w:lineRule="auto"/>
        <w:ind w:firstLine="709"/>
        <w:jc w:val="right"/>
        <w:rPr>
          <w:rFonts w:ascii="Times New Roman" w:hAnsi="Times New Roman" w:cs="Times New Roman"/>
          <w:b/>
          <w:sz w:val="24"/>
          <w:szCs w:val="24"/>
        </w:rPr>
      </w:pPr>
      <w:r w:rsidRPr="006F507D">
        <w:rPr>
          <w:rFonts w:ascii="Times New Roman" w:hAnsi="Times New Roman" w:cs="Times New Roman"/>
          <w:b/>
          <w:sz w:val="24"/>
          <w:szCs w:val="24"/>
        </w:rPr>
        <w:t>Трифонова Е.Н.</w:t>
      </w:r>
    </w:p>
    <w:p w:rsidR="003D1F69" w:rsidRDefault="003D1F69" w:rsidP="00A741BF">
      <w:pPr>
        <w:spacing w:after="0" w:line="240" w:lineRule="auto"/>
        <w:ind w:firstLine="709"/>
        <w:rPr>
          <w:rFonts w:ascii="Times New Roman" w:hAnsi="Times New Roman" w:cs="Times New Roman"/>
          <w:sz w:val="24"/>
          <w:szCs w:val="24"/>
        </w:rPr>
      </w:pPr>
    </w:p>
    <w:p w:rsidR="003D1F69" w:rsidRPr="00C1456A" w:rsidRDefault="00D80B8E" w:rsidP="00D80B8E">
      <w:pPr>
        <w:spacing w:after="0" w:line="240" w:lineRule="auto"/>
        <w:ind w:firstLine="709"/>
        <w:jc w:val="center"/>
        <w:rPr>
          <w:rFonts w:ascii="Times New Roman" w:hAnsi="Times New Roman" w:cs="Times New Roman"/>
          <w:b/>
          <w:sz w:val="24"/>
          <w:szCs w:val="24"/>
        </w:rPr>
      </w:pPr>
      <w:r w:rsidRPr="00C1456A">
        <w:rPr>
          <w:rFonts w:ascii="Times New Roman" w:hAnsi="Times New Roman" w:cs="Times New Roman"/>
          <w:b/>
          <w:sz w:val="24"/>
          <w:szCs w:val="24"/>
        </w:rPr>
        <w:t xml:space="preserve">ОСНОВНЫЕ ФАКТОРЫ, ВЛИЯЮЩИЕ НА </w:t>
      </w:r>
      <w:r w:rsidR="00562E22" w:rsidRPr="00C1456A">
        <w:rPr>
          <w:rFonts w:ascii="Times New Roman" w:hAnsi="Times New Roman" w:cs="Times New Roman"/>
          <w:b/>
          <w:sz w:val="24"/>
          <w:szCs w:val="24"/>
        </w:rPr>
        <w:t>ТЕНДЕНЦИИ РАЗВИТИЯ ПИЩЕВОЙ ПРОМЫШЛЕННОСТИ</w:t>
      </w:r>
      <w:r w:rsidRPr="00C1456A">
        <w:rPr>
          <w:rFonts w:ascii="Times New Roman" w:hAnsi="Times New Roman" w:cs="Times New Roman"/>
          <w:b/>
          <w:sz w:val="24"/>
          <w:szCs w:val="24"/>
        </w:rPr>
        <w:t xml:space="preserve"> РОССИИ</w:t>
      </w:r>
    </w:p>
    <w:p w:rsidR="00562E22" w:rsidRDefault="00562E22" w:rsidP="00A741BF">
      <w:pPr>
        <w:spacing w:after="0" w:line="240" w:lineRule="auto"/>
        <w:ind w:firstLine="709"/>
        <w:rPr>
          <w:rFonts w:ascii="Times New Roman" w:hAnsi="Times New Roman" w:cs="Times New Roman"/>
          <w:sz w:val="24"/>
          <w:szCs w:val="24"/>
        </w:rPr>
      </w:pPr>
    </w:p>
    <w:p w:rsidR="00C1456A" w:rsidRDefault="00C1456A" w:rsidP="00E75F47">
      <w:pPr>
        <w:spacing w:after="0" w:line="240" w:lineRule="auto"/>
        <w:ind w:firstLine="709"/>
        <w:jc w:val="both"/>
        <w:rPr>
          <w:rFonts w:ascii="Times New Roman" w:hAnsi="Times New Roman" w:cs="Times New Roman"/>
          <w:sz w:val="24"/>
          <w:szCs w:val="24"/>
        </w:rPr>
      </w:pPr>
      <w:r w:rsidRPr="00561ADF">
        <w:rPr>
          <w:rFonts w:ascii="Times New Roman" w:hAnsi="Times New Roman" w:cs="Times New Roman"/>
          <w:b/>
          <w:sz w:val="24"/>
          <w:szCs w:val="24"/>
        </w:rPr>
        <w:t>Аннотация</w:t>
      </w:r>
      <w:r>
        <w:rPr>
          <w:rFonts w:ascii="Times New Roman" w:hAnsi="Times New Roman" w:cs="Times New Roman"/>
          <w:sz w:val="24"/>
          <w:szCs w:val="24"/>
        </w:rPr>
        <w:t>:</w:t>
      </w:r>
      <w:r w:rsidR="00E75F47">
        <w:rPr>
          <w:rFonts w:ascii="Times New Roman" w:hAnsi="Times New Roman" w:cs="Times New Roman"/>
          <w:sz w:val="24"/>
          <w:szCs w:val="24"/>
        </w:rPr>
        <w:t xml:space="preserve"> Исследовано состояние и основные прогнозные тенденции развития пищевой и перерабатывающей промышленности России на ближайшую перспективу. Выявлены факторы, влияющие на устойчивый рост отраслей переработки, и проанализирована их динамика за период с 2011 по 2023 гг.</w:t>
      </w:r>
    </w:p>
    <w:p w:rsidR="00C1456A" w:rsidRPr="00564332" w:rsidRDefault="00C1456A" w:rsidP="00E75F47">
      <w:pPr>
        <w:spacing w:after="0" w:line="240" w:lineRule="auto"/>
        <w:ind w:firstLine="709"/>
        <w:jc w:val="both"/>
        <w:rPr>
          <w:rFonts w:ascii="Times New Roman" w:hAnsi="Times New Roman" w:cs="Times New Roman"/>
          <w:sz w:val="24"/>
          <w:szCs w:val="24"/>
        </w:rPr>
      </w:pPr>
      <w:r w:rsidRPr="00561ADF">
        <w:rPr>
          <w:rFonts w:ascii="Times New Roman" w:hAnsi="Times New Roman" w:cs="Times New Roman"/>
          <w:b/>
          <w:sz w:val="24"/>
          <w:szCs w:val="24"/>
        </w:rPr>
        <w:t>Ключевые слова</w:t>
      </w:r>
      <w:r>
        <w:rPr>
          <w:rFonts w:ascii="Times New Roman" w:hAnsi="Times New Roman" w:cs="Times New Roman"/>
          <w:sz w:val="24"/>
          <w:szCs w:val="24"/>
        </w:rPr>
        <w:t>:</w:t>
      </w:r>
      <w:r w:rsidR="00564332" w:rsidRPr="00564332">
        <w:rPr>
          <w:rFonts w:ascii="Times New Roman" w:hAnsi="Times New Roman" w:cs="Times New Roman"/>
          <w:sz w:val="24"/>
          <w:szCs w:val="24"/>
        </w:rPr>
        <w:t xml:space="preserve"> </w:t>
      </w:r>
      <w:r w:rsidR="00564332">
        <w:rPr>
          <w:rFonts w:ascii="Times New Roman" w:hAnsi="Times New Roman" w:cs="Times New Roman"/>
          <w:sz w:val="24"/>
          <w:szCs w:val="24"/>
        </w:rPr>
        <w:t>пищевая и перерабатывающая промышленность, экспорт, импорт, продовольственная безопасность, устойчивое развитие</w:t>
      </w:r>
    </w:p>
    <w:p w:rsidR="00C1456A" w:rsidRDefault="00C1456A" w:rsidP="00D76DD7">
      <w:pPr>
        <w:spacing w:after="0" w:line="240" w:lineRule="auto"/>
        <w:ind w:firstLine="709"/>
        <w:jc w:val="both"/>
        <w:rPr>
          <w:rFonts w:ascii="Times New Roman" w:hAnsi="Times New Roman" w:cs="Times New Roman"/>
          <w:sz w:val="24"/>
          <w:szCs w:val="24"/>
        </w:rPr>
      </w:pPr>
    </w:p>
    <w:p w:rsidR="00713781" w:rsidRPr="00B92310" w:rsidRDefault="00731F83" w:rsidP="00D76DD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современных условиях геополитической нестабильности</w:t>
      </w:r>
      <w:r w:rsidR="000D118A">
        <w:rPr>
          <w:rFonts w:ascii="Times New Roman" w:hAnsi="Times New Roman" w:cs="Times New Roman"/>
          <w:sz w:val="24"/>
          <w:szCs w:val="24"/>
        </w:rPr>
        <w:t xml:space="preserve"> </w:t>
      </w:r>
      <w:r w:rsidR="00D76DD7">
        <w:rPr>
          <w:rFonts w:ascii="Times New Roman" w:hAnsi="Times New Roman" w:cs="Times New Roman"/>
          <w:sz w:val="24"/>
          <w:szCs w:val="24"/>
        </w:rPr>
        <w:t>особую актуальность приобретает проблема обеспечения продовольственной безопасности России. Ключевую роль в достижении целей, прописанных в Доктрине продовольственной безопасности РФ</w:t>
      </w:r>
      <w:r w:rsidR="008F6E6F">
        <w:rPr>
          <w:rFonts w:ascii="Times New Roman" w:hAnsi="Times New Roman" w:cs="Times New Roman"/>
          <w:sz w:val="24"/>
          <w:szCs w:val="24"/>
        </w:rPr>
        <w:t xml:space="preserve"> </w:t>
      </w:r>
      <w:r w:rsidR="008F6E6F" w:rsidRPr="008F6E6F">
        <w:rPr>
          <w:rFonts w:ascii="Times New Roman" w:hAnsi="Times New Roman" w:cs="Times New Roman"/>
          <w:sz w:val="24"/>
          <w:szCs w:val="24"/>
        </w:rPr>
        <w:t>[1]</w:t>
      </w:r>
      <w:r w:rsidR="00D76DD7">
        <w:rPr>
          <w:rFonts w:ascii="Times New Roman" w:hAnsi="Times New Roman" w:cs="Times New Roman"/>
          <w:sz w:val="24"/>
          <w:szCs w:val="24"/>
        </w:rPr>
        <w:t>, играет устойчивое развитие агропромышленного комплекса, включ</w:t>
      </w:r>
      <w:r w:rsidR="006D433F">
        <w:rPr>
          <w:rFonts w:ascii="Times New Roman" w:hAnsi="Times New Roman" w:cs="Times New Roman"/>
          <w:sz w:val="24"/>
          <w:szCs w:val="24"/>
        </w:rPr>
        <w:t>ая все его структурные элементы.</w:t>
      </w:r>
      <w:r w:rsidR="00D76DD7">
        <w:rPr>
          <w:rFonts w:ascii="Times New Roman" w:hAnsi="Times New Roman" w:cs="Times New Roman"/>
          <w:sz w:val="24"/>
          <w:szCs w:val="24"/>
        </w:rPr>
        <w:t xml:space="preserve"> </w:t>
      </w:r>
      <w:r w:rsidR="006D433F">
        <w:rPr>
          <w:rFonts w:ascii="Times New Roman" w:hAnsi="Times New Roman" w:cs="Times New Roman"/>
          <w:sz w:val="24"/>
          <w:szCs w:val="24"/>
        </w:rPr>
        <w:t>П</w:t>
      </w:r>
      <w:r w:rsidR="00D76DD7">
        <w:rPr>
          <w:rFonts w:ascii="Times New Roman" w:hAnsi="Times New Roman" w:cs="Times New Roman"/>
          <w:sz w:val="24"/>
          <w:szCs w:val="24"/>
        </w:rPr>
        <w:t xml:space="preserve">ищевая и </w:t>
      </w:r>
      <w:r w:rsidR="006D433F">
        <w:rPr>
          <w:rFonts w:ascii="Times New Roman" w:hAnsi="Times New Roman" w:cs="Times New Roman"/>
          <w:sz w:val="24"/>
          <w:szCs w:val="24"/>
        </w:rPr>
        <w:t>перерабатывающая промышленность, являясь конечным звеном в едином производственном процессе, выполняет функцию драйвера развития смежных отраслей сельского хозяйства</w:t>
      </w:r>
      <w:r w:rsidR="00BC304F">
        <w:rPr>
          <w:rFonts w:ascii="Times New Roman" w:hAnsi="Times New Roman" w:cs="Times New Roman"/>
          <w:sz w:val="24"/>
          <w:szCs w:val="24"/>
        </w:rPr>
        <w:t>. Кроме того, в свете продления действия федерального проекта «Экспорт продукции АПК»</w:t>
      </w:r>
      <w:r w:rsidR="00B6711F" w:rsidRPr="00B6711F">
        <w:rPr>
          <w:rFonts w:ascii="Times New Roman" w:hAnsi="Times New Roman" w:cs="Times New Roman"/>
          <w:sz w:val="24"/>
          <w:szCs w:val="24"/>
        </w:rPr>
        <w:t xml:space="preserve"> [2]</w:t>
      </w:r>
      <w:r w:rsidR="00BC304F">
        <w:rPr>
          <w:rFonts w:ascii="Times New Roman" w:hAnsi="Times New Roman" w:cs="Times New Roman"/>
          <w:sz w:val="24"/>
          <w:szCs w:val="24"/>
        </w:rPr>
        <w:t xml:space="preserve"> до 2030 года, предполагающего увеличение объемов аграрного экспорта в 1,5 раза по сравнению с 2021 годом до 55,2 </w:t>
      </w:r>
      <w:proofErr w:type="spellStart"/>
      <w:r w:rsidR="00BC304F">
        <w:rPr>
          <w:rFonts w:ascii="Times New Roman" w:hAnsi="Times New Roman" w:cs="Times New Roman"/>
          <w:sz w:val="24"/>
          <w:szCs w:val="24"/>
        </w:rPr>
        <w:t>млрд.долл.США</w:t>
      </w:r>
      <w:proofErr w:type="spellEnd"/>
      <w:r w:rsidR="00FE5D66" w:rsidRPr="00FE5D66">
        <w:rPr>
          <w:rFonts w:ascii="Times New Roman" w:hAnsi="Times New Roman" w:cs="Times New Roman"/>
          <w:sz w:val="24"/>
          <w:szCs w:val="24"/>
        </w:rPr>
        <w:t xml:space="preserve"> [3]</w:t>
      </w:r>
      <w:r w:rsidR="00BC304F">
        <w:rPr>
          <w:rFonts w:ascii="Times New Roman" w:hAnsi="Times New Roman" w:cs="Times New Roman"/>
          <w:sz w:val="24"/>
          <w:szCs w:val="24"/>
        </w:rPr>
        <w:t xml:space="preserve">, наибольшие </w:t>
      </w:r>
      <w:r w:rsidR="00BC304F" w:rsidRPr="003D1F69">
        <w:rPr>
          <w:rFonts w:ascii="Times New Roman" w:hAnsi="Times New Roman" w:cs="Times New Roman"/>
          <w:sz w:val="24"/>
          <w:szCs w:val="24"/>
        </w:rPr>
        <w:t>надежды</w:t>
      </w:r>
      <w:r w:rsidR="00BC304F">
        <w:rPr>
          <w:rFonts w:ascii="Times New Roman" w:hAnsi="Times New Roman" w:cs="Times New Roman"/>
          <w:sz w:val="24"/>
          <w:szCs w:val="24"/>
        </w:rPr>
        <w:t xml:space="preserve"> по увеличению притока финансовых ресурсов в страну возлагаются на отрасли пищевой промышленности, обеспечивающие высокую добавленную стоимость за счет глубокой промышленной переработки </w:t>
      </w:r>
      <w:proofErr w:type="spellStart"/>
      <w:r w:rsidR="00BC304F">
        <w:rPr>
          <w:rFonts w:ascii="Times New Roman" w:hAnsi="Times New Roman" w:cs="Times New Roman"/>
          <w:sz w:val="24"/>
          <w:szCs w:val="24"/>
        </w:rPr>
        <w:t>сельхозсырья</w:t>
      </w:r>
      <w:proofErr w:type="spellEnd"/>
      <w:r w:rsidR="00BC304F">
        <w:rPr>
          <w:rFonts w:ascii="Times New Roman" w:hAnsi="Times New Roman" w:cs="Times New Roman"/>
          <w:sz w:val="24"/>
          <w:szCs w:val="24"/>
        </w:rPr>
        <w:t>, поскольку резервы интенсификации производства в отраслях сельского хозяйства существенно ограничены и практически  достигли своего максимума реализации.</w:t>
      </w:r>
      <w:r w:rsidR="00967285">
        <w:rPr>
          <w:rFonts w:ascii="Times New Roman" w:hAnsi="Times New Roman" w:cs="Times New Roman"/>
          <w:sz w:val="24"/>
          <w:szCs w:val="24"/>
        </w:rPr>
        <w:t xml:space="preserve"> В свете данной проблемы особый интерес вызывает анализ состояния отраслей пищевой промышленности, а также перспективы их дальнейшего развития. </w:t>
      </w:r>
    </w:p>
    <w:p w:rsidR="009E51FA" w:rsidRPr="00B92310" w:rsidRDefault="00B92310" w:rsidP="00B9231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более ранних исследованиях</w:t>
      </w:r>
      <w:r w:rsidR="00826895" w:rsidRPr="00826895">
        <w:rPr>
          <w:rFonts w:ascii="Times New Roman" w:hAnsi="Times New Roman" w:cs="Times New Roman"/>
          <w:sz w:val="24"/>
          <w:szCs w:val="24"/>
        </w:rPr>
        <w:t xml:space="preserve"> [4]</w:t>
      </w:r>
      <w:r>
        <w:rPr>
          <w:rFonts w:ascii="Times New Roman" w:hAnsi="Times New Roman" w:cs="Times New Roman"/>
          <w:sz w:val="24"/>
          <w:szCs w:val="24"/>
        </w:rPr>
        <w:t xml:space="preserve"> автора с помощью построения модели множественной регрессии была проведена оценка состояния отечественного </w:t>
      </w:r>
      <w:proofErr w:type="spellStart"/>
      <w:r>
        <w:rPr>
          <w:rFonts w:ascii="Times New Roman" w:hAnsi="Times New Roman" w:cs="Times New Roman"/>
          <w:sz w:val="24"/>
          <w:szCs w:val="24"/>
        </w:rPr>
        <w:t>агроэкспорта</w:t>
      </w:r>
      <w:proofErr w:type="spellEnd"/>
      <w:r>
        <w:rPr>
          <w:rFonts w:ascii="Times New Roman" w:hAnsi="Times New Roman" w:cs="Times New Roman"/>
          <w:sz w:val="24"/>
          <w:szCs w:val="24"/>
        </w:rPr>
        <w:t xml:space="preserve"> и перспектив его развития, а также выявлены факторы, влияющие на</w:t>
      </w:r>
      <w:r w:rsidRPr="00B92310">
        <w:rPr>
          <w:rFonts w:ascii="Times New Roman" w:hAnsi="Times New Roman" w:cs="Times New Roman"/>
          <w:sz w:val="24"/>
          <w:szCs w:val="24"/>
        </w:rPr>
        <w:t xml:space="preserve"> </w:t>
      </w:r>
      <w:r>
        <w:rPr>
          <w:rFonts w:ascii="Times New Roman" w:hAnsi="Times New Roman" w:cs="Times New Roman"/>
          <w:sz w:val="24"/>
          <w:szCs w:val="24"/>
        </w:rPr>
        <w:t>региональный экспорт.</w:t>
      </w:r>
      <w:r w:rsidRPr="00B92310">
        <w:rPr>
          <w:rFonts w:ascii="Times New Roman" w:hAnsi="Times New Roman" w:cs="Times New Roman"/>
          <w:sz w:val="24"/>
          <w:szCs w:val="24"/>
        </w:rPr>
        <w:t xml:space="preserve"> </w:t>
      </w:r>
      <w:r>
        <w:rPr>
          <w:rFonts w:ascii="Times New Roman" w:hAnsi="Times New Roman" w:cs="Times New Roman"/>
          <w:sz w:val="24"/>
          <w:szCs w:val="24"/>
        </w:rPr>
        <w:t>К ним отнесены: объем</w:t>
      </w:r>
      <w:r w:rsidRPr="00B92310">
        <w:rPr>
          <w:rFonts w:ascii="Times New Roman" w:hAnsi="Times New Roman" w:cs="Times New Roman"/>
          <w:sz w:val="24"/>
          <w:szCs w:val="24"/>
        </w:rPr>
        <w:t xml:space="preserve"> производства в</w:t>
      </w:r>
      <w:r>
        <w:rPr>
          <w:rFonts w:ascii="Times New Roman" w:hAnsi="Times New Roman" w:cs="Times New Roman"/>
          <w:sz w:val="24"/>
          <w:szCs w:val="24"/>
        </w:rPr>
        <w:t xml:space="preserve"> пищевой промышленности, уровень</w:t>
      </w:r>
      <w:r w:rsidRPr="00B92310">
        <w:rPr>
          <w:rFonts w:ascii="Times New Roman" w:hAnsi="Times New Roman" w:cs="Times New Roman"/>
          <w:sz w:val="24"/>
          <w:szCs w:val="24"/>
        </w:rPr>
        <w:t xml:space="preserve"> доходов населения, </w:t>
      </w:r>
      <w:r>
        <w:rPr>
          <w:rFonts w:ascii="Times New Roman" w:hAnsi="Times New Roman" w:cs="Times New Roman"/>
          <w:sz w:val="24"/>
          <w:szCs w:val="24"/>
        </w:rPr>
        <w:t>объем</w:t>
      </w:r>
      <w:r w:rsidRPr="00B92310">
        <w:rPr>
          <w:rFonts w:ascii="Times New Roman" w:hAnsi="Times New Roman" w:cs="Times New Roman"/>
          <w:sz w:val="24"/>
          <w:szCs w:val="24"/>
        </w:rPr>
        <w:t xml:space="preserve"> производств</w:t>
      </w:r>
      <w:r>
        <w:rPr>
          <w:rFonts w:ascii="Times New Roman" w:hAnsi="Times New Roman" w:cs="Times New Roman"/>
          <w:sz w:val="24"/>
          <w:szCs w:val="24"/>
        </w:rPr>
        <w:t xml:space="preserve">а в сельском хозяйстве, импорт продовольствия, </w:t>
      </w:r>
      <w:r w:rsidRPr="00B92310">
        <w:rPr>
          <w:rFonts w:ascii="Times New Roman" w:hAnsi="Times New Roman" w:cs="Times New Roman"/>
          <w:sz w:val="24"/>
          <w:szCs w:val="24"/>
        </w:rPr>
        <w:t>а также прямые перечисления средств из бюджета сельхозпроизводителям и дотации регионам.</w:t>
      </w:r>
      <w:r>
        <w:rPr>
          <w:rFonts w:ascii="Times New Roman" w:hAnsi="Times New Roman" w:cs="Times New Roman"/>
          <w:sz w:val="24"/>
          <w:szCs w:val="24"/>
        </w:rPr>
        <w:t xml:space="preserve"> В результате анализа, было показано, что </w:t>
      </w:r>
      <w:r w:rsidR="009E51FA">
        <w:rPr>
          <w:rFonts w:ascii="Times New Roman" w:hAnsi="Times New Roman" w:cs="Times New Roman"/>
          <w:sz w:val="24"/>
          <w:szCs w:val="24"/>
        </w:rPr>
        <w:t xml:space="preserve">сильнее всего </w:t>
      </w:r>
      <w:r w:rsidR="009E51FA" w:rsidRPr="009E51FA">
        <w:rPr>
          <w:rFonts w:ascii="Times New Roman" w:hAnsi="Times New Roman" w:cs="Times New Roman"/>
          <w:sz w:val="24"/>
          <w:szCs w:val="24"/>
        </w:rPr>
        <w:t xml:space="preserve">на объемы и структуру регионального </w:t>
      </w:r>
      <w:proofErr w:type="spellStart"/>
      <w:r w:rsidR="009E51FA" w:rsidRPr="009E51FA">
        <w:rPr>
          <w:rFonts w:ascii="Times New Roman" w:hAnsi="Times New Roman" w:cs="Times New Roman"/>
          <w:sz w:val="24"/>
          <w:szCs w:val="24"/>
        </w:rPr>
        <w:t>агроэкспорта</w:t>
      </w:r>
      <w:proofErr w:type="spellEnd"/>
      <w:r w:rsidR="009E51FA">
        <w:rPr>
          <w:rFonts w:ascii="Times New Roman" w:hAnsi="Times New Roman" w:cs="Times New Roman"/>
          <w:sz w:val="24"/>
          <w:szCs w:val="24"/>
        </w:rPr>
        <w:t xml:space="preserve"> влияет объём господдержки производителей продовольственной продукции.</w:t>
      </w:r>
    </w:p>
    <w:p w:rsidR="00F76E7B" w:rsidRDefault="00B92310" w:rsidP="00D76DD7">
      <w:pPr>
        <w:spacing w:after="0" w:line="240" w:lineRule="auto"/>
        <w:ind w:firstLine="709"/>
        <w:jc w:val="both"/>
        <w:rPr>
          <w:rFonts w:ascii="Times New Roman" w:hAnsi="Times New Roman" w:cs="Times New Roman"/>
          <w:sz w:val="24"/>
          <w:szCs w:val="24"/>
        </w:rPr>
      </w:pPr>
      <w:r w:rsidRPr="00B92310">
        <w:rPr>
          <w:rFonts w:ascii="Times New Roman" w:hAnsi="Times New Roman" w:cs="Times New Roman"/>
          <w:sz w:val="24"/>
          <w:szCs w:val="24"/>
        </w:rPr>
        <w:t>В рамках данного исследования особый интерес представляет сопоставление динамик не абсолютных значений показателей</w:t>
      </w:r>
      <w:r w:rsidR="0047441D">
        <w:rPr>
          <w:rFonts w:ascii="Times New Roman" w:hAnsi="Times New Roman" w:cs="Times New Roman"/>
          <w:sz w:val="24"/>
          <w:szCs w:val="24"/>
        </w:rPr>
        <w:t xml:space="preserve"> экспорта и импорта </w:t>
      </w:r>
      <w:proofErr w:type="spellStart"/>
      <w:r w:rsidR="0047441D">
        <w:rPr>
          <w:rFonts w:ascii="Times New Roman" w:hAnsi="Times New Roman" w:cs="Times New Roman"/>
          <w:sz w:val="24"/>
          <w:szCs w:val="24"/>
        </w:rPr>
        <w:t>сельхозсырья</w:t>
      </w:r>
      <w:proofErr w:type="spellEnd"/>
      <w:r w:rsidR="0047441D">
        <w:rPr>
          <w:rFonts w:ascii="Times New Roman" w:hAnsi="Times New Roman" w:cs="Times New Roman"/>
          <w:sz w:val="24"/>
          <w:szCs w:val="24"/>
        </w:rPr>
        <w:t xml:space="preserve"> и </w:t>
      </w:r>
      <w:r w:rsidR="00476A8A">
        <w:rPr>
          <w:rFonts w:ascii="Times New Roman" w:hAnsi="Times New Roman" w:cs="Times New Roman"/>
          <w:sz w:val="24"/>
          <w:szCs w:val="24"/>
        </w:rPr>
        <w:t>продовольствия</w:t>
      </w:r>
      <w:r w:rsidRPr="00B92310">
        <w:rPr>
          <w:rFonts w:ascii="Times New Roman" w:hAnsi="Times New Roman" w:cs="Times New Roman"/>
          <w:sz w:val="24"/>
          <w:szCs w:val="24"/>
        </w:rPr>
        <w:t xml:space="preserve">, а их темпов ежегодного прироста за анализируемый промежуток времени. </w:t>
      </w:r>
      <w:r w:rsidR="0047441D">
        <w:rPr>
          <w:rFonts w:ascii="Times New Roman" w:hAnsi="Times New Roman" w:cs="Times New Roman"/>
          <w:sz w:val="24"/>
          <w:szCs w:val="24"/>
        </w:rPr>
        <w:t xml:space="preserve">Из </w:t>
      </w:r>
      <w:r w:rsidRPr="00B92310">
        <w:rPr>
          <w:rFonts w:ascii="Times New Roman" w:hAnsi="Times New Roman" w:cs="Times New Roman"/>
          <w:sz w:val="24"/>
          <w:szCs w:val="24"/>
        </w:rPr>
        <w:t xml:space="preserve">рисунка </w:t>
      </w:r>
      <w:r w:rsidR="0047441D">
        <w:rPr>
          <w:rFonts w:ascii="Times New Roman" w:hAnsi="Times New Roman" w:cs="Times New Roman"/>
          <w:sz w:val="24"/>
          <w:szCs w:val="24"/>
        </w:rPr>
        <w:t>1</w:t>
      </w:r>
      <w:r w:rsidRPr="00B92310">
        <w:rPr>
          <w:rFonts w:ascii="Times New Roman" w:hAnsi="Times New Roman" w:cs="Times New Roman"/>
          <w:sz w:val="24"/>
          <w:szCs w:val="24"/>
        </w:rPr>
        <w:t xml:space="preserve"> </w:t>
      </w:r>
      <w:r w:rsidR="0047441D">
        <w:rPr>
          <w:rFonts w:ascii="Times New Roman" w:hAnsi="Times New Roman" w:cs="Times New Roman"/>
          <w:sz w:val="24"/>
          <w:szCs w:val="24"/>
        </w:rPr>
        <w:t xml:space="preserve">видно, что </w:t>
      </w:r>
      <w:r w:rsidRPr="00B92310">
        <w:rPr>
          <w:rFonts w:ascii="Times New Roman" w:hAnsi="Times New Roman" w:cs="Times New Roman"/>
          <w:sz w:val="24"/>
          <w:szCs w:val="24"/>
        </w:rPr>
        <w:t xml:space="preserve">процессы экспорта и импорта </w:t>
      </w:r>
      <w:r w:rsidR="006958A8">
        <w:rPr>
          <w:rFonts w:ascii="Times New Roman" w:hAnsi="Times New Roman" w:cs="Times New Roman"/>
          <w:sz w:val="24"/>
          <w:szCs w:val="24"/>
        </w:rPr>
        <w:t>в наибольшей степени</w:t>
      </w:r>
      <w:r w:rsidRPr="00B92310">
        <w:rPr>
          <w:rFonts w:ascii="Times New Roman" w:hAnsi="Times New Roman" w:cs="Times New Roman"/>
          <w:sz w:val="24"/>
          <w:szCs w:val="24"/>
        </w:rPr>
        <w:t xml:space="preserve"> под</w:t>
      </w:r>
      <w:r w:rsidR="0047441D">
        <w:rPr>
          <w:rFonts w:ascii="Times New Roman" w:hAnsi="Times New Roman" w:cs="Times New Roman"/>
          <w:sz w:val="24"/>
          <w:szCs w:val="24"/>
        </w:rPr>
        <w:t>вержены влиянию внешних экономи</w:t>
      </w:r>
      <w:r w:rsidRPr="00B92310">
        <w:rPr>
          <w:rFonts w:ascii="Times New Roman" w:hAnsi="Times New Roman" w:cs="Times New Roman"/>
          <w:sz w:val="24"/>
          <w:szCs w:val="24"/>
        </w:rPr>
        <w:t xml:space="preserve">ко-политических условий, что проявляется периодической сменой направления их прироста, в отличие от более стабильной тенденции изменения в производстве в пищевой отрасли. Более того, исходя из представленных данных, можно предположить, что увеличение </w:t>
      </w:r>
      <w:proofErr w:type="spellStart"/>
      <w:r w:rsidRPr="00B92310">
        <w:rPr>
          <w:rFonts w:ascii="Times New Roman" w:hAnsi="Times New Roman" w:cs="Times New Roman"/>
          <w:sz w:val="24"/>
          <w:szCs w:val="24"/>
        </w:rPr>
        <w:t>агроэкспорта</w:t>
      </w:r>
      <w:proofErr w:type="spellEnd"/>
      <w:r w:rsidRPr="00B92310">
        <w:rPr>
          <w:rFonts w:ascii="Times New Roman" w:hAnsi="Times New Roman" w:cs="Times New Roman"/>
          <w:sz w:val="24"/>
          <w:szCs w:val="24"/>
        </w:rPr>
        <w:t xml:space="preserve"> не является определяющим фактором ро</w:t>
      </w:r>
      <w:r w:rsidR="0047441D">
        <w:rPr>
          <w:rFonts w:ascii="Times New Roman" w:hAnsi="Times New Roman" w:cs="Times New Roman"/>
          <w:sz w:val="24"/>
          <w:szCs w:val="24"/>
        </w:rPr>
        <w:t>ста пищевой промышленности в це</w:t>
      </w:r>
      <w:r w:rsidRPr="00B92310">
        <w:rPr>
          <w:rFonts w:ascii="Times New Roman" w:hAnsi="Times New Roman" w:cs="Times New Roman"/>
          <w:sz w:val="24"/>
          <w:szCs w:val="24"/>
        </w:rPr>
        <w:t>лом, поскольку, на данном этапе развития экономики существенной поддержкой пользуются только те отрасли, которые признаны перспективными для увеличения экспорта в рамках продления действия федерального проекта «Экспорт продукции АПК», в частности, это масложировая отрасль, мясо-молочная группа товаров, мука</w:t>
      </w:r>
      <w:r w:rsidR="000A17FB">
        <w:rPr>
          <w:rFonts w:ascii="Times New Roman" w:hAnsi="Times New Roman" w:cs="Times New Roman"/>
          <w:sz w:val="24"/>
          <w:szCs w:val="24"/>
        </w:rPr>
        <w:t xml:space="preserve"> [</w:t>
      </w:r>
      <w:r w:rsidR="00745A50" w:rsidRPr="00745A50">
        <w:rPr>
          <w:rFonts w:ascii="Times New Roman" w:hAnsi="Times New Roman" w:cs="Times New Roman"/>
          <w:sz w:val="24"/>
          <w:szCs w:val="24"/>
        </w:rPr>
        <w:t>5</w:t>
      </w:r>
      <w:r w:rsidRPr="00B92310">
        <w:rPr>
          <w:rFonts w:ascii="Times New Roman" w:hAnsi="Times New Roman" w:cs="Times New Roman"/>
          <w:sz w:val="24"/>
          <w:szCs w:val="24"/>
        </w:rPr>
        <w:t xml:space="preserve">], что, в целом, не оказывает существенного влияния на общие показатели пищевой и перерабатывающей промышленности. </w:t>
      </w:r>
    </w:p>
    <w:p w:rsidR="00476A8A" w:rsidRDefault="00476A8A" w:rsidP="00D76DD7">
      <w:pPr>
        <w:spacing w:after="0" w:line="240" w:lineRule="auto"/>
        <w:ind w:firstLine="709"/>
        <w:jc w:val="both"/>
        <w:rPr>
          <w:rFonts w:ascii="Times New Roman" w:hAnsi="Times New Roman" w:cs="Times New Roman"/>
          <w:sz w:val="24"/>
          <w:szCs w:val="24"/>
        </w:rPr>
      </w:pPr>
    </w:p>
    <w:p w:rsidR="00476A8A" w:rsidRDefault="00476A8A" w:rsidP="00D76DD7">
      <w:pPr>
        <w:spacing w:after="0" w:line="240" w:lineRule="auto"/>
        <w:ind w:firstLine="709"/>
        <w:jc w:val="both"/>
        <w:rPr>
          <w:rFonts w:ascii="Times New Roman" w:hAnsi="Times New Roman" w:cs="Times New Roman"/>
          <w:sz w:val="24"/>
          <w:szCs w:val="24"/>
        </w:rPr>
      </w:pPr>
    </w:p>
    <w:p w:rsidR="00476A8A" w:rsidRDefault="00476A8A" w:rsidP="00476A8A">
      <w:pPr>
        <w:spacing w:after="0" w:line="240" w:lineRule="auto"/>
        <w:jc w:val="center"/>
        <w:rPr>
          <w:rFonts w:ascii="Times New Roman" w:hAnsi="Times New Roman" w:cs="Times New Roman"/>
          <w:sz w:val="24"/>
          <w:szCs w:val="24"/>
        </w:rPr>
      </w:pPr>
      <w:r>
        <w:rPr>
          <w:noProof/>
          <w:lang w:eastAsia="ru-RU"/>
        </w:rPr>
        <w:drawing>
          <wp:inline distT="0" distB="0" distL="0" distR="0" wp14:anchorId="066AEA01" wp14:editId="4E9FECB3">
            <wp:extent cx="5764696" cy="3085106"/>
            <wp:effectExtent l="0" t="0" r="26670" b="2032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76A8A" w:rsidRPr="001F6AAB" w:rsidRDefault="00476A8A" w:rsidP="00476A8A">
      <w:pPr>
        <w:spacing w:after="0" w:line="240" w:lineRule="auto"/>
        <w:ind w:firstLine="709"/>
        <w:rPr>
          <w:rFonts w:ascii="Times New Roman" w:hAnsi="Times New Roman" w:cs="Times New Roman"/>
          <w:sz w:val="20"/>
          <w:szCs w:val="20"/>
        </w:rPr>
      </w:pPr>
      <w:r w:rsidRPr="001F6AAB">
        <w:rPr>
          <w:rFonts w:ascii="Times New Roman" w:hAnsi="Times New Roman" w:cs="Times New Roman"/>
          <w:sz w:val="20"/>
          <w:szCs w:val="20"/>
        </w:rPr>
        <w:t>Составлено автором с использованием данных Росстата</w:t>
      </w:r>
      <w:r w:rsidR="00094B7F">
        <w:rPr>
          <w:rStyle w:val="a7"/>
          <w:rFonts w:ascii="Times New Roman" w:hAnsi="Times New Roman" w:cs="Times New Roman"/>
          <w:sz w:val="20"/>
          <w:szCs w:val="20"/>
        </w:rPr>
        <w:footnoteReference w:id="1"/>
      </w:r>
    </w:p>
    <w:p w:rsidR="00476A8A" w:rsidRDefault="00476A8A" w:rsidP="00476A8A">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w:t>
      </w:r>
      <w:r w:rsidRPr="00094B7F">
        <w:rPr>
          <w:rFonts w:ascii="Times New Roman" w:hAnsi="Times New Roman" w:cs="Times New Roman"/>
          <w:sz w:val="24"/>
          <w:szCs w:val="24"/>
        </w:rPr>
        <w:t>1</w:t>
      </w:r>
      <w:r>
        <w:rPr>
          <w:rFonts w:ascii="Times New Roman" w:hAnsi="Times New Roman" w:cs="Times New Roman"/>
          <w:sz w:val="24"/>
          <w:szCs w:val="24"/>
        </w:rPr>
        <w:t xml:space="preserve">. </w:t>
      </w:r>
      <w:r w:rsidRPr="00542D79">
        <w:rPr>
          <w:rFonts w:ascii="Times New Roman" w:hAnsi="Times New Roman" w:cs="Times New Roman"/>
          <w:sz w:val="24"/>
          <w:szCs w:val="24"/>
        </w:rPr>
        <w:t>Соотношение ежегодных темпов пр</w:t>
      </w:r>
      <w:r>
        <w:rPr>
          <w:rFonts w:ascii="Times New Roman" w:hAnsi="Times New Roman" w:cs="Times New Roman"/>
          <w:sz w:val="24"/>
          <w:szCs w:val="24"/>
        </w:rPr>
        <w:t xml:space="preserve">ироста показателей производства и международной торговли </w:t>
      </w:r>
      <w:proofErr w:type="spellStart"/>
      <w:r>
        <w:rPr>
          <w:rFonts w:ascii="Times New Roman" w:hAnsi="Times New Roman" w:cs="Times New Roman"/>
          <w:sz w:val="24"/>
          <w:szCs w:val="24"/>
        </w:rPr>
        <w:t>сельхозсырьем</w:t>
      </w:r>
      <w:proofErr w:type="spellEnd"/>
      <w:r>
        <w:rPr>
          <w:rFonts w:ascii="Times New Roman" w:hAnsi="Times New Roman" w:cs="Times New Roman"/>
          <w:sz w:val="24"/>
          <w:szCs w:val="24"/>
        </w:rPr>
        <w:t xml:space="preserve"> и продовольствием</w:t>
      </w:r>
      <w:r w:rsidRPr="00542D79">
        <w:rPr>
          <w:rFonts w:ascii="Times New Roman" w:hAnsi="Times New Roman" w:cs="Times New Roman"/>
          <w:sz w:val="24"/>
          <w:szCs w:val="24"/>
        </w:rPr>
        <w:t xml:space="preserve"> за период с 2011 по 2023 гг.</w:t>
      </w:r>
    </w:p>
    <w:p w:rsidR="00476A8A" w:rsidRDefault="00476A8A" w:rsidP="00D76DD7">
      <w:pPr>
        <w:spacing w:after="0" w:line="240" w:lineRule="auto"/>
        <w:ind w:firstLine="709"/>
        <w:jc w:val="both"/>
        <w:rPr>
          <w:rFonts w:ascii="Times New Roman" w:hAnsi="Times New Roman" w:cs="Times New Roman"/>
          <w:sz w:val="24"/>
          <w:szCs w:val="24"/>
        </w:rPr>
      </w:pPr>
    </w:p>
    <w:p w:rsidR="001E7518" w:rsidRPr="00B92310" w:rsidRDefault="00AD646B" w:rsidP="00D76DD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Анализируя абсолютные показатели производства в отраслях пищевой промышленности (рис.2) можно утверждать, что на протяжении последних 13</w:t>
      </w:r>
      <w:r w:rsidR="001E7518" w:rsidRPr="001E7518">
        <w:rPr>
          <w:rFonts w:ascii="Times New Roman" w:hAnsi="Times New Roman" w:cs="Times New Roman"/>
          <w:sz w:val="24"/>
          <w:szCs w:val="24"/>
        </w:rPr>
        <w:t xml:space="preserve"> лет </w:t>
      </w:r>
      <w:r>
        <w:rPr>
          <w:rFonts w:ascii="Times New Roman" w:hAnsi="Times New Roman" w:cs="Times New Roman"/>
          <w:sz w:val="24"/>
          <w:szCs w:val="24"/>
        </w:rPr>
        <w:t>развитие</w:t>
      </w:r>
      <w:r w:rsidR="001E7518" w:rsidRPr="001E7518">
        <w:rPr>
          <w:rFonts w:ascii="Times New Roman" w:hAnsi="Times New Roman" w:cs="Times New Roman"/>
          <w:sz w:val="24"/>
          <w:szCs w:val="24"/>
        </w:rPr>
        <w:t xml:space="preserve"> в отраслях пищевой промышленности характеризуется устойчивым ростом </w:t>
      </w:r>
      <w:r>
        <w:rPr>
          <w:rFonts w:ascii="Times New Roman" w:hAnsi="Times New Roman" w:cs="Times New Roman"/>
          <w:sz w:val="24"/>
          <w:szCs w:val="24"/>
        </w:rPr>
        <w:t>порядка 10-13% ежегодного приро</w:t>
      </w:r>
      <w:r w:rsidR="001E7518" w:rsidRPr="001E7518">
        <w:rPr>
          <w:rFonts w:ascii="Times New Roman" w:hAnsi="Times New Roman" w:cs="Times New Roman"/>
          <w:sz w:val="24"/>
          <w:szCs w:val="24"/>
        </w:rPr>
        <w:t>ста. Единственный период незначительного снижения прироста объемов производства (на 1,8%) произошел в 2017 году, когда отечественная промышленность, в целом, испытала на себе негативные последствия кризисных явлений в экономике. Эффективность деятельности предприятий пи</w:t>
      </w:r>
      <w:r>
        <w:rPr>
          <w:rFonts w:ascii="Times New Roman" w:hAnsi="Times New Roman" w:cs="Times New Roman"/>
          <w:sz w:val="24"/>
          <w:szCs w:val="24"/>
        </w:rPr>
        <w:t>щевой и перерабатывающей промыш</w:t>
      </w:r>
      <w:r w:rsidR="001E7518" w:rsidRPr="001E7518">
        <w:rPr>
          <w:rFonts w:ascii="Times New Roman" w:hAnsi="Times New Roman" w:cs="Times New Roman"/>
          <w:sz w:val="24"/>
          <w:szCs w:val="24"/>
        </w:rPr>
        <w:t xml:space="preserve">ленности на протяжении рассматриваемого периода во </w:t>
      </w:r>
      <w:r>
        <w:rPr>
          <w:rFonts w:ascii="Times New Roman" w:hAnsi="Times New Roman" w:cs="Times New Roman"/>
          <w:sz w:val="24"/>
          <w:szCs w:val="24"/>
        </w:rPr>
        <w:t>многом демонстрируют такие пока</w:t>
      </w:r>
      <w:r w:rsidR="001E7518" w:rsidRPr="001E7518">
        <w:rPr>
          <w:rFonts w:ascii="Times New Roman" w:hAnsi="Times New Roman" w:cs="Times New Roman"/>
          <w:sz w:val="24"/>
          <w:szCs w:val="24"/>
        </w:rPr>
        <w:t xml:space="preserve">затели, как динамика оборота организаций в отрасли, а также их сальдированный финансовый результат, рассчитанный как разница между прибылью и убытком </w:t>
      </w:r>
      <w:r>
        <w:rPr>
          <w:rFonts w:ascii="Times New Roman" w:hAnsi="Times New Roman" w:cs="Times New Roman"/>
          <w:sz w:val="24"/>
          <w:szCs w:val="24"/>
        </w:rPr>
        <w:t>в соответствующем периоде</w:t>
      </w:r>
      <w:r w:rsidR="001E7518" w:rsidRPr="001E7518">
        <w:rPr>
          <w:rFonts w:ascii="Times New Roman" w:hAnsi="Times New Roman" w:cs="Times New Roman"/>
          <w:sz w:val="24"/>
          <w:szCs w:val="24"/>
        </w:rPr>
        <w:t xml:space="preserve">. Одновременно с увеличением объемов производства, вырос и оборот предприятий пищевой и перерабатывающей промышленности. За период с 2010 по 2022 гг. данный показатель увеличился с 3094 </w:t>
      </w:r>
      <w:proofErr w:type="spellStart"/>
      <w:r w:rsidR="001E7518" w:rsidRPr="001E7518">
        <w:rPr>
          <w:rFonts w:ascii="Times New Roman" w:hAnsi="Times New Roman" w:cs="Times New Roman"/>
          <w:sz w:val="24"/>
          <w:szCs w:val="24"/>
        </w:rPr>
        <w:t>млрд.руб</w:t>
      </w:r>
      <w:proofErr w:type="spellEnd"/>
      <w:r w:rsidR="001E7518" w:rsidRPr="001E7518">
        <w:rPr>
          <w:rFonts w:ascii="Times New Roman" w:hAnsi="Times New Roman" w:cs="Times New Roman"/>
          <w:sz w:val="24"/>
          <w:szCs w:val="24"/>
        </w:rPr>
        <w:t>. до 10641,4 млрд. руб. или почти в 3,5 раза, что пропорционально росту объемов производства. Ожидаемое временное незначительное (около 1%) снижение оборота предприятий зафиксировано лишь в</w:t>
      </w:r>
      <w:r>
        <w:rPr>
          <w:rFonts w:ascii="Times New Roman" w:hAnsi="Times New Roman" w:cs="Times New Roman"/>
          <w:sz w:val="24"/>
          <w:szCs w:val="24"/>
        </w:rPr>
        <w:t xml:space="preserve"> кризисном</w:t>
      </w:r>
      <w:r w:rsidR="001E7518" w:rsidRPr="001E7518">
        <w:rPr>
          <w:rFonts w:ascii="Times New Roman" w:hAnsi="Times New Roman" w:cs="Times New Roman"/>
          <w:sz w:val="24"/>
          <w:szCs w:val="24"/>
        </w:rPr>
        <w:t xml:space="preserve"> 2017 году. Более чувствительным к внешним экономико-политическим условиям </w:t>
      </w:r>
      <w:r>
        <w:rPr>
          <w:rFonts w:ascii="Times New Roman" w:hAnsi="Times New Roman" w:cs="Times New Roman"/>
          <w:sz w:val="24"/>
          <w:szCs w:val="24"/>
        </w:rPr>
        <w:t>оказался</w:t>
      </w:r>
      <w:r w:rsidR="001E7518" w:rsidRPr="001E7518">
        <w:rPr>
          <w:rFonts w:ascii="Times New Roman" w:hAnsi="Times New Roman" w:cs="Times New Roman"/>
          <w:sz w:val="24"/>
          <w:szCs w:val="24"/>
        </w:rPr>
        <w:t xml:space="preserve"> показатель сальдированного финансового результата, который, с одной стороны, </w:t>
      </w:r>
      <w:r>
        <w:rPr>
          <w:rFonts w:ascii="Times New Roman" w:hAnsi="Times New Roman" w:cs="Times New Roman"/>
          <w:sz w:val="24"/>
          <w:szCs w:val="24"/>
        </w:rPr>
        <w:t>показывает, в целом, положитель</w:t>
      </w:r>
      <w:r w:rsidR="001E7518" w:rsidRPr="001E7518">
        <w:rPr>
          <w:rFonts w:ascii="Times New Roman" w:hAnsi="Times New Roman" w:cs="Times New Roman"/>
          <w:sz w:val="24"/>
          <w:szCs w:val="24"/>
        </w:rPr>
        <w:t>ное сальдо финансовых результатов предприятий отрасли</w:t>
      </w:r>
      <w:r>
        <w:rPr>
          <w:rFonts w:ascii="Times New Roman" w:hAnsi="Times New Roman" w:cs="Times New Roman"/>
          <w:sz w:val="24"/>
          <w:szCs w:val="24"/>
        </w:rPr>
        <w:t>, а, с другой, демонстрирует эф</w:t>
      </w:r>
      <w:r w:rsidR="001E7518" w:rsidRPr="001E7518">
        <w:rPr>
          <w:rFonts w:ascii="Times New Roman" w:hAnsi="Times New Roman" w:cs="Times New Roman"/>
          <w:sz w:val="24"/>
          <w:szCs w:val="24"/>
        </w:rPr>
        <w:t xml:space="preserve">фективность мер господдержки производителей, а также проводимой политики </w:t>
      </w:r>
      <w:proofErr w:type="spellStart"/>
      <w:r w:rsidR="001E7518" w:rsidRPr="001E7518">
        <w:rPr>
          <w:rFonts w:ascii="Times New Roman" w:hAnsi="Times New Roman" w:cs="Times New Roman"/>
          <w:sz w:val="24"/>
          <w:szCs w:val="24"/>
        </w:rPr>
        <w:t>импортозамещения</w:t>
      </w:r>
      <w:proofErr w:type="spellEnd"/>
      <w:r w:rsidR="001E7518" w:rsidRPr="001E7518">
        <w:rPr>
          <w:rFonts w:ascii="Times New Roman" w:hAnsi="Times New Roman" w:cs="Times New Roman"/>
          <w:sz w:val="24"/>
          <w:szCs w:val="24"/>
        </w:rPr>
        <w:t>, что на графике прослеживается как «</w:t>
      </w:r>
      <w:proofErr w:type="spellStart"/>
      <w:r w:rsidR="001E7518" w:rsidRPr="001E7518">
        <w:rPr>
          <w:rFonts w:ascii="Times New Roman" w:hAnsi="Times New Roman" w:cs="Times New Roman"/>
          <w:sz w:val="24"/>
          <w:szCs w:val="24"/>
        </w:rPr>
        <w:t>скачёк</w:t>
      </w:r>
      <w:proofErr w:type="spellEnd"/>
      <w:r w:rsidR="001E7518" w:rsidRPr="001E7518">
        <w:rPr>
          <w:rFonts w:ascii="Times New Roman" w:hAnsi="Times New Roman" w:cs="Times New Roman"/>
          <w:sz w:val="24"/>
          <w:szCs w:val="24"/>
        </w:rPr>
        <w:t>» в значении показателя в 2022 году.</w:t>
      </w:r>
    </w:p>
    <w:p w:rsidR="00713781" w:rsidRDefault="00713781" w:rsidP="00A741BF">
      <w:pPr>
        <w:spacing w:after="0" w:line="240" w:lineRule="auto"/>
        <w:ind w:firstLine="709"/>
        <w:rPr>
          <w:rFonts w:ascii="Times New Roman" w:hAnsi="Times New Roman" w:cs="Times New Roman"/>
          <w:sz w:val="24"/>
          <w:szCs w:val="24"/>
        </w:rPr>
      </w:pPr>
    </w:p>
    <w:p w:rsidR="00713781" w:rsidRDefault="00713781" w:rsidP="00713781">
      <w:pPr>
        <w:spacing w:after="0" w:line="240" w:lineRule="auto"/>
        <w:jc w:val="center"/>
        <w:rPr>
          <w:rFonts w:ascii="Times New Roman" w:hAnsi="Times New Roman" w:cs="Times New Roman"/>
          <w:sz w:val="24"/>
          <w:szCs w:val="24"/>
        </w:rPr>
      </w:pPr>
      <w:r>
        <w:rPr>
          <w:noProof/>
          <w:lang w:eastAsia="ru-RU"/>
        </w:rPr>
        <w:lastRenderedPageBreak/>
        <w:drawing>
          <wp:inline distT="0" distB="0" distL="0" distR="0" wp14:anchorId="4233FE50" wp14:editId="4CB238EF">
            <wp:extent cx="5857875" cy="410527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B0BED" w:rsidRPr="001F6AAB" w:rsidRDefault="000B0BED" w:rsidP="00A741BF">
      <w:pPr>
        <w:spacing w:after="0" w:line="240" w:lineRule="auto"/>
        <w:ind w:firstLine="709"/>
        <w:rPr>
          <w:rFonts w:ascii="Times New Roman" w:hAnsi="Times New Roman" w:cs="Times New Roman"/>
          <w:sz w:val="20"/>
          <w:szCs w:val="20"/>
        </w:rPr>
      </w:pPr>
      <w:r w:rsidRPr="001F6AAB">
        <w:rPr>
          <w:rFonts w:ascii="Times New Roman" w:hAnsi="Times New Roman" w:cs="Times New Roman"/>
          <w:sz w:val="20"/>
          <w:szCs w:val="20"/>
        </w:rPr>
        <w:t>Составлено автором с использованием</w:t>
      </w:r>
      <w:r w:rsidR="003E05B8" w:rsidRPr="001F6AAB">
        <w:rPr>
          <w:rFonts w:ascii="Times New Roman" w:hAnsi="Times New Roman" w:cs="Times New Roman"/>
          <w:sz w:val="20"/>
          <w:szCs w:val="20"/>
        </w:rPr>
        <w:t xml:space="preserve"> данных Росстата</w:t>
      </w:r>
      <w:r w:rsidR="00EF6F55">
        <w:rPr>
          <w:rStyle w:val="a7"/>
          <w:rFonts w:ascii="Times New Roman" w:hAnsi="Times New Roman" w:cs="Times New Roman"/>
          <w:sz w:val="20"/>
          <w:szCs w:val="20"/>
        </w:rPr>
        <w:footnoteReference w:id="2"/>
      </w:r>
    </w:p>
    <w:p w:rsidR="00713781" w:rsidRDefault="00235A73" w:rsidP="000A321C">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w:t>
      </w:r>
      <w:r w:rsidR="00F351F5" w:rsidRPr="00094B7F">
        <w:rPr>
          <w:rFonts w:ascii="Times New Roman" w:hAnsi="Times New Roman" w:cs="Times New Roman"/>
          <w:sz w:val="24"/>
          <w:szCs w:val="24"/>
        </w:rPr>
        <w:t>2</w:t>
      </w:r>
      <w:r>
        <w:rPr>
          <w:rFonts w:ascii="Times New Roman" w:hAnsi="Times New Roman" w:cs="Times New Roman"/>
          <w:sz w:val="24"/>
          <w:szCs w:val="24"/>
        </w:rPr>
        <w:t xml:space="preserve">. </w:t>
      </w:r>
      <w:r w:rsidR="000A321C" w:rsidRPr="000A321C">
        <w:rPr>
          <w:rFonts w:ascii="Times New Roman" w:hAnsi="Times New Roman" w:cs="Times New Roman"/>
          <w:sz w:val="24"/>
          <w:szCs w:val="24"/>
        </w:rPr>
        <w:t>Динамика</w:t>
      </w:r>
      <w:r w:rsidR="00427D85">
        <w:rPr>
          <w:rFonts w:ascii="Times New Roman" w:hAnsi="Times New Roman" w:cs="Times New Roman"/>
          <w:sz w:val="24"/>
          <w:szCs w:val="24"/>
        </w:rPr>
        <w:t xml:space="preserve"> финансовых показателей развития</w:t>
      </w:r>
      <w:r w:rsidR="000A321C" w:rsidRPr="000A321C">
        <w:rPr>
          <w:rFonts w:ascii="Times New Roman" w:hAnsi="Times New Roman" w:cs="Times New Roman"/>
          <w:sz w:val="24"/>
          <w:szCs w:val="24"/>
        </w:rPr>
        <w:t xml:space="preserve"> пищевой промышленности России</w:t>
      </w:r>
      <w:r w:rsidR="00427D85">
        <w:rPr>
          <w:rFonts w:ascii="Times New Roman" w:hAnsi="Times New Roman" w:cs="Times New Roman"/>
          <w:sz w:val="24"/>
          <w:szCs w:val="24"/>
        </w:rPr>
        <w:t xml:space="preserve"> за 2010-2023 гг. </w:t>
      </w:r>
      <w:r w:rsidR="00427D85" w:rsidRPr="00427D85">
        <w:rPr>
          <w:rFonts w:ascii="Times New Roman" w:hAnsi="Times New Roman" w:cs="Times New Roman"/>
          <w:sz w:val="24"/>
          <w:szCs w:val="24"/>
        </w:rPr>
        <w:t>(в фактически действовавших ценах</w:t>
      </w:r>
      <w:r w:rsidR="00427D85">
        <w:rPr>
          <w:rFonts w:ascii="Times New Roman" w:hAnsi="Times New Roman" w:cs="Times New Roman"/>
          <w:sz w:val="24"/>
          <w:szCs w:val="24"/>
        </w:rPr>
        <w:t>)</w:t>
      </w:r>
      <w:r w:rsidR="000A321C" w:rsidRPr="000A321C">
        <w:rPr>
          <w:rFonts w:ascii="Times New Roman" w:hAnsi="Times New Roman" w:cs="Times New Roman"/>
          <w:sz w:val="24"/>
          <w:szCs w:val="24"/>
        </w:rPr>
        <w:t>, с вариантами прогноза объемов</w:t>
      </w:r>
      <w:r w:rsidR="00427D85">
        <w:rPr>
          <w:rFonts w:ascii="Times New Roman" w:hAnsi="Times New Roman" w:cs="Times New Roman"/>
          <w:sz w:val="24"/>
          <w:szCs w:val="24"/>
        </w:rPr>
        <w:t xml:space="preserve"> внутреннего</w:t>
      </w:r>
      <w:r w:rsidR="000A321C" w:rsidRPr="000A321C">
        <w:rPr>
          <w:rFonts w:ascii="Times New Roman" w:hAnsi="Times New Roman" w:cs="Times New Roman"/>
          <w:sz w:val="24"/>
          <w:szCs w:val="24"/>
        </w:rPr>
        <w:t xml:space="preserve"> производства</w:t>
      </w:r>
    </w:p>
    <w:p w:rsidR="00713781" w:rsidRDefault="00713781" w:rsidP="00A741BF">
      <w:pPr>
        <w:spacing w:after="0" w:line="240" w:lineRule="auto"/>
        <w:ind w:firstLine="709"/>
        <w:rPr>
          <w:rFonts w:ascii="Times New Roman" w:hAnsi="Times New Roman" w:cs="Times New Roman"/>
          <w:sz w:val="24"/>
          <w:szCs w:val="24"/>
        </w:rPr>
      </w:pPr>
    </w:p>
    <w:p w:rsidR="00542D79" w:rsidRDefault="00F236D8" w:rsidP="00F236D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рамках настоящего исследования, помимо вышеперечисленных факторов, оказывающих влияние на состояние пищевой и перерабатывающей промышленности, были выделены также</w:t>
      </w:r>
      <w:r w:rsidRPr="00F236D8">
        <w:rPr>
          <w:rFonts w:ascii="Times New Roman" w:hAnsi="Times New Roman" w:cs="Times New Roman"/>
          <w:sz w:val="24"/>
          <w:szCs w:val="24"/>
        </w:rPr>
        <w:t>, производство в смежн</w:t>
      </w:r>
      <w:r>
        <w:rPr>
          <w:rFonts w:ascii="Times New Roman" w:hAnsi="Times New Roman" w:cs="Times New Roman"/>
          <w:sz w:val="24"/>
          <w:szCs w:val="24"/>
        </w:rPr>
        <w:t>ых отраслях сельского хозяйства, а также</w:t>
      </w:r>
      <w:r w:rsidRPr="00F236D8">
        <w:rPr>
          <w:rFonts w:ascii="Times New Roman" w:hAnsi="Times New Roman" w:cs="Times New Roman"/>
          <w:sz w:val="24"/>
          <w:szCs w:val="24"/>
        </w:rPr>
        <w:t xml:space="preserve"> уровень жизни населения.</w:t>
      </w:r>
      <w:r>
        <w:rPr>
          <w:rFonts w:ascii="Times New Roman" w:hAnsi="Times New Roman" w:cs="Times New Roman"/>
          <w:sz w:val="24"/>
          <w:szCs w:val="24"/>
        </w:rPr>
        <w:t xml:space="preserve"> </w:t>
      </w:r>
      <w:r w:rsidR="001E7518" w:rsidRPr="001E7518">
        <w:rPr>
          <w:rFonts w:ascii="Times New Roman" w:hAnsi="Times New Roman" w:cs="Times New Roman"/>
          <w:sz w:val="24"/>
          <w:szCs w:val="24"/>
        </w:rPr>
        <w:t>На основе</w:t>
      </w:r>
      <w:r>
        <w:rPr>
          <w:rFonts w:ascii="Times New Roman" w:hAnsi="Times New Roman" w:cs="Times New Roman"/>
          <w:sz w:val="24"/>
          <w:szCs w:val="24"/>
        </w:rPr>
        <w:t xml:space="preserve"> всей</w:t>
      </w:r>
      <w:r w:rsidR="001E7518" w:rsidRPr="001E7518">
        <w:rPr>
          <w:rFonts w:ascii="Times New Roman" w:hAnsi="Times New Roman" w:cs="Times New Roman"/>
          <w:sz w:val="24"/>
          <w:szCs w:val="24"/>
        </w:rPr>
        <w:t xml:space="preserve"> имеющейся совокупности данных</w:t>
      </w:r>
      <w:r>
        <w:rPr>
          <w:rFonts w:ascii="Times New Roman" w:hAnsi="Times New Roman" w:cs="Times New Roman"/>
          <w:sz w:val="24"/>
          <w:szCs w:val="24"/>
        </w:rPr>
        <w:t xml:space="preserve"> </w:t>
      </w:r>
      <w:r w:rsidR="001E7518" w:rsidRPr="001E7518">
        <w:rPr>
          <w:rFonts w:ascii="Times New Roman" w:hAnsi="Times New Roman" w:cs="Times New Roman"/>
          <w:sz w:val="24"/>
          <w:szCs w:val="24"/>
        </w:rPr>
        <w:t xml:space="preserve">было построено два варианта тренда </w:t>
      </w:r>
      <w:r>
        <w:rPr>
          <w:rFonts w:ascii="Times New Roman" w:hAnsi="Times New Roman" w:cs="Times New Roman"/>
          <w:sz w:val="24"/>
          <w:szCs w:val="24"/>
        </w:rPr>
        <w:t>производства в отраслях пищевой промышленности России</w:t>
      </w:r>
      <w:r w:rsidR="001E7518" w:rsidRPr="001E7518">
        <w:rPr>
          <w:rFonts w:ascii="Times New Roman" w:hAnsi="Times New Roman" w:cs="Times New Roman"/>
          <w:sz w:val="24"/>
          <w:szCs w:val="24"/>
        </w:rPr>
        <w:t xml:space="preserve"> на основе рассчитанных регрессионных моделей с экстраполяцией выявленных тенден</w:t>
      </w:r>
      <w:r>
        <w:rPr>
          <w:rFonts w:ascii="Times New Roman" w:hAnsi="Times New Roman" w:cs="Times New Roman"/>
          <w:sz w:val="24"/>
          <w:szCs w:val="24"/>
        </w:rPr>
        <w:t>ций на ближайшие два года (рис.2</w:t>
      </w:r>
      <w:r w:rsidR="001E7518" w:rsidRPr="001E7518">
        <w:rPr>
          <w:rFonts w:ascii="Times New Roman" w:hAnsi="Times New Roman" w:cs="Times New Roman"/>
          <w:sz w:val="24"/>
          <w:szCs w:val="24"/>
        </w:rPr>
        <w:t>)</w:t>
      </w:r>
      <w:r w:rsidR="00E64D0D">
        <w:rPr>
          <w:rFonts w:ascii="Times New Roman" w:hAnsi="Times New Roman" w:cs="Times New Roman"/>
          <w:sz w:val="24"/>
          <w:szCs w:val="24"/>
        </w:rPr>
        <w:t xml:space="preserve"> [6</w:t>
      </w:r>
      <w:r w:rsidR="008C40B8" w:rsidRPr="008C40B8">
        <w:rPr>
          <w:rFonts w:ascii="Times New Roman" w:hAnsi="Times New Roman" w:cs="Times New Roman"/>
          <w:sz w:val="24"/>
          <w:szCs w:val="24"/>
        </w:rPr>
        <w:t>]</w:t>
      </w:r>
      <w:r>
        <w:rPr>
          <w:rFonts w:ascii="Times New Roman" w:hAnsi="Times New Roman" w:cs="Times New Roman"/>
          <w:sz w:val="24"/>
          <w:szCs w:val="24"/>
        </w:rPr>
        <w:t>. Оба прогнозных варианта демон</w:t>
      </w:r>
      <w:r w:rsidR="001E7518" w:rsidRPr="001E7518">
        <w:rPr>
          <w:rFonts w:ascii="Times New Roman" w:hAnsi="Times New Roman" w:cs="Times New Roman"/>
          <w:sz w:val="24"/>
          <w:szCs w:val="24"/>
        </w:rPr>
        <w:t>стрируют дальнейший рост объемов производства в отрасли, но с разными темпами прироста. Прогноз, построенный с помощью линейной линии</w:t>
      </w:r>
      <w:r>
        <w:rPr>
          <w:rFonts w:ascii="Times New Roman" w:hAnsi="Times New Roman" w:cs="Times New Roman"/>
          <w:sz w:val="24"/>
          <w:szCs w:val="24"/>
        </w:rPr>
        <w:t xml:space="preserve"> тренда, демонстрирует консерва</w:t>
      </w:r>
      <w:r w:rsidR="001E7518" w:rsidRPr="001E7518">
        <w:rPr>
          <w:rFonts w:ascii="Times New Roman" w:hAnsi="Times New Roman" w:cs="Times New Roman"/>
          <w:sz w:val="24"/>
          <w:szCs w:val="24"/>
        </w:rPr>
        <w:t>тивный вариант развития ситуации, который не предполагает активных действий со стороны государства по наращиванию объёмов производства, направленных, в первую очередь, на удовлетворение спроса на продовольственные товары на внутренних рынках. Прогноз, построенный на основе экспоненциальной модели в бол</w:t>
      </w:r>
      <w:r>
        <w:rPr>
          <w:rFonts w:ascii="Times New Roman" w:hAnsi="Times New Roman" w:cs="Times New Roman"/>
          <w:sz w:val="24"/>
          <w:szCs w:val="24"/>
        </w:rPr>
        <w:t>ьшей степени ориентирован на мак</w:t>
      </w:r>
      <w:r w:rsidR="001E7518" w:rsidRPr="001E7518">
        <w:rPr>
          <w:rFonts w:ascii="Times New Roman" w:hAnsi="Times New Roman" w:cs="Times New Roman"/>
          <w:sz w:val="24"/>
          <w:szCs w:val="24"/>
        </w:rPr>
        <w:t>симальную реализацию имеющегося производственного п</w:t>
      </w:r>
      <w:r>
        <w:rPr>
          <w:rFonts w:ascii="Times New Roman" w:hAnsi="Times New Roman" w:cs="Times New Roman"/>
          <w:sz w:val="24"/>
          <w:szCs w:val="24"/>
        </w:rPr>
        <w:t>отенциала внутри отрасли, а так</w:t>
      </w:r>
      <w:r w:rsidR="001E7518" w:rsidRPr="001E7518">
        <w:rPr>
          <w:rFonts w:ascii="Times New Roman" w:hAnsi="Times New Roman" w:cs="Times New Roman"/>
          <w:sz w:val="24"/>
          <w:szCs w:val="24"/>
        </w:rPr>
        <w:t xml:space="preserve">же на стимулирование производства и использования </w:t>
      </w:r>
      <w:r>
        <w:rPr>
          <w:rFonts w:ascii="Times New Roman" w:hAnsi="Times New Roman" w:cs="Times New Roman"/>
          <w:sz w:val="24"/>
          <w:szCs w:val="24"/>
        </w:rPr>
        <w:t>инновационных продуктов и техно</w:t>
      </w:r>
      <w:r w:rsidR="001E7518" w:rsidRPr="001E7518">
        <w:rPr>
          <w:rFonts w:ascii="Times New Roman" w:hAnsi="Times New Roman" w:cs="Times New Roman"/>
          <w:sz w:val="24"/>
          <w:szCs w:val="24"/>
        </w:rPr>
        <w:t>логий, что требует привлечения в отрасль дополнительных инвестиций, а также разработки действенной государственной программы социальных преобразований, обеспечивающих повышение уровня жизни населения, что сопряжено с увеличение спроса на качественные и безопасные продовольственные товары.</w:t>
      </w:r>
    </w:p>
    <w:p w:rsidR="00542D79" w:rsidRDefault="00542D79" w:rsidP="00A741BF">
      <w:pPr>
        <w:spacing w:after="0" w:line="240" w:lineRule="auto"/>
        <w:ind w:firstLine="709"/>
        <w:rPr>
          <w:rFonts w:ascii="Times New Roman" w:hAnsi="Times New Roman" w:cs="Times New Roman"/>
          <w:sz w:val="24"/>
          <w:szCs w:val="24"/>
        </w:rPr>
      </w:pPr>
    </w:p>
    <w:p w:rsidR="00542D79" w:rsidRPr="00E3128B" w:rsidRDefault="00E3128B" w:rsidP="00E3128B">
      <w:pPr>
        <w:spacing w:after="0" w:line="240" w:lineRule="auto"/>
        <w:ind w:firstLine="709"/>
        <w:jc w:val="center"/>
        <w:rPr>
          <w:rFonts w:ascii="Times New Roman" w:hAnsi="Times New Roman" w:cs="Times New Roman"/>
          <w:b/>
          <w:sz w:val="24"/>
          <w:szCs w:val="24"/>
        </w:rPr>
      </w:pPr>
      <w:r w:rsidRPr="00E3128B">
        <w:rPr>
          <w:rFonts w:ascii="Times New Roman" w:hAnsi="Times New Roman" w:cs="Times New Roman"/>
          <w:b/>
          <w:sz w:val="24"/>
          <w:szCs w:val="24"/>
        </w:rPr>
        <w:t>Библиографический список:</w:t>
      </w:r>
    </w:p>
    <w:p w:rsidR="00542D79" w:rsidRPr="000B6402" w:rsidRDefault="008F6E6F" w:rsidP="000B6402">
      <w:pPr>
        <w:pStyle w:val="a8"/>
        <w:numPr>
          <w:ilvl w:val="0"/>
          <w:numId w:val="1"/>
        </w:numPr>
        <w:spacing w:after="0" w:line="240" w:lineRule="auto"/>
        <w:ind w:left="0" w:firstLine="709"/>
        <w:jc w:val="both"/>
        <w:rPr>
          <w:rFonts w:ascii="Times New Roman" w:hAnsi="Times New Roman" w:cs="Times New Roman"/>
          <w:sz w:val="24"/>
          <w:szCs w:val="24"/>
        </w:rPr>
      </w:pPr>
      <w:r w:rsidRPr="000B6402">
        <w:rPr>
          <w:rFonts w:ascii="Times New Roman" w:hAnsi="Times New Roman" w:cs="Times New Roman"/>
          <w:sz w:val="24"/>
          <w:szCs w:val="24"/>
        </w:rPr>
        <w:lastRenderedPageBreak/>
        <w:t xml:space="preserve">Доктрина продовольственной безопасности Российской Федерации (утв. указом Президента Российской Федерации от 21 января 2020 г. № 20). – [Электронный ресурс] – </w:t>
      </w:r>
      <w:r w:rsidRPr="000B6402">
        <w:rPr>
          <w:rFonts w:ascii="Times New Roman" w:hAnsi="Times New Roman" w:cs="Times New Roman"/>
          <w:sz w:val="24"/>
          <w:szCs w:val="24"/>
          <w:lang w:val="en-US"/>
        </w:rPr>
        <w:t>URL</w:t>
      </w:r>
      <w:r w:rsidRPr="000B6402">
        <w:rPr>
          <w:rFonts w:ascii="Times New Roman" w:hAnsi="Times New Roman" w:cs="Times New Roman"/>
          <w:sz w:val="24"/>
          <w:szCs w:val="24"/>
        </w:rPr>
        <w:t xml:space="preserve">: </w:t>
      </w:r>
      <w:hyperlink r:id="rId10" w:history="1">
        <w:r w:rsidRPr="000B6402">
          <w:rPr>
            <w:rStyle w:val="a9"/>
            <w:rFonts w:ascii="Times New Roman" w:hAnsi="Times New Roman" w:cs="Times New Roman"/>
            <w:color w:val="auto"/>
            <w:sz w:val="24"/>
            <w:szCs w:val="24"/>
            <w:u w:val="none"/>
            <w:lang w:val="en-US"/>
          </w:rPr>
          <w:t>https</w:t>
        </w:r>
        <w:r w:rsidRPr="000B6402">
          <w:rPr>
            <w:rStyle w:val="a9"/>
            <w:rFonts w:ascii="Times New Roman" w:hAnsi="Times New Roman" w:cs="Times New Roman"/>
            <w:color w:val="auto"/>
            <w:sz w:val="24"/>
            <w:szCs w:val="24"/>
            <w:u w:val="none"/>
          </w:rPr>
          <w:t>://</w:t>
        </w:r>
        <w:r w:rsidRPr="000B6402">
          <w:rPr>
            <w:rStyle w:val="a9"/>
            <w:rFonts w:ascii="Times New Roman" w:hAnsi="Times New Roman" w:cs="Times New Roman"/>
            <w:color w:val="auto"/>
            <w:sz w:val="24"/>
            <w:szCs w:val="24"/>
            <w:u w:val="none"/>
            <w:lang w:val="en-US"/>
          </w:rPr>
          <w:t>mcx</w:t>
        </w:r>
        <w:r w:rsidRPr="000B6402">
          <w:rPr>
            <w:rStyle w:val="a9"/>
            <w:rFonts w:ascii="Times New Roman" w:hAnsi="Times New Roman" w:cs="Times New Roman"/>
            <w:color w:val="auto"/>
            <w:sz w:val="24"/>
            <w:szCs w:val="24"/>
            <w:u w:val="none"/>
          </w:rPr>
          <w:t>.</w:t>
        </w:r>
        <w:proofErr w:type="spellStart"/>
        <w:r w:rsidRPr="000B6402">
          <w:rPr>
            <w:rStyle w:val="a9"/>
            <w:rFonts w:ascii="Times New Roman" w:hAnsi="Times New Roman" w:cs="Times New Roman"/>
            <w:color w:val="auto"/>
            <w:sz w:val="24"/>
            <w:szCs w:val="24"/>
            <w:u w:val="none"/>
            <w:lang w:val="en-US"/>
          </w:rPr>
          <w:t>gov</w:t>
        </w:r>
        <w:proofErr w:type="spellEnd"/>
        <w:r w:rsidRPr="000B6402">
          <w:rPr>
            <w:rStyle w:val="a9"/>
            <w:rFonts w:ascii="Times New Roman" w:hAnsi="Times New Roman" w:cs="Times New Roman"/>
            <w:color w:val="auto"/>
            <w:sz w:val="24"/>
            <w:szCs w:val="24"/>
            <w:u w:val="none"/>
          </w:rPr>
          <w:t>.</w:t>
        </w:r>
        <w:proofErr w:type="spellStart"/>
        <w:r w:rsidRPr="000B6402">
          <w:rPr>
            <w:rStyle w:val="a9"/>
            <w:rFonts w:ascii="Times New Roman" w:hAnsi="Times New Roman" w:cs="Times New Roman"/>
            <w:color w:val="auto"/>
            <w:sz w:val="24"/>
            <w:szCs w:val="24"/>
            <w:u w:val="none"/>
            <w:lang w:val="en-US"/>
          </w:rPr>
          <w:t>ru</w:t>
        </w:r>
        <w:proofErr w:type="spellEnd"/>
        <w:r w:rsidRPr="000B6402">
          <w:rPr>
            <w:rStyle w:val="a9"/>
            <w:rFonts w:ascii="Times New Roman" w:hAnsi="Times New Roman" w:cs="Times New Roman"/>
            <w:color w:val="auto"/>
            <w:sz w:val="24"/>
            <w:szCs w:val="24"/>
            <w:u w:val="none"/>
          </w:rPr>
          <w:t>/</w:t>
        </w:r>
        <w:r w:rsidRPr="000B6402">
          <w:rPr>
            <w:rStyle w:val="a9"/>
            <w:rFonts w:ascii="Times New Roman" w:hAnsi="Times New Roman" w:cs="Times New Roman"/>
            <w:color w:val="auto"/>
            <w:sz w:val="24"/>
            <w:szCs w:val="24"/>
            <w:u w:val="none"/>
            <w:lang w:val="en-US"/>
          </w:rPr>
          <w:t>upload</w:t>
        </w:r>
        <w:r w:rsidRPr="000B6402">
          <w:rPr>
            <w:rStyle w:val="a9"/>
            <w:rFonts w:ascii="Times New Roman" w:hAnsi="Times New Roman" w:cs="Times New Roman"/>
            <w:color w:val="auto"/>
            <w:sz w:val="24"/>
            <w:szCs w:val="24"/>
            <w:u w:val="none"/>
          </w:rPr>
          <w:t>/</w:t>
        </w:r>
        <w:proofErr w:type="spellStart"/>
        <w:r w:rsidRPr="000B6402">
          <w:rPr>
            <w:rStyle w:val="a9"/>
            <w:rFonts w:ascii="Times New Roman" w:hAnsi="Times New Roman" w:cs="Times New Roman"/>
            <w:color w:val="auto"/>
            <w:sz w:val="24"/>
            <w:szCs w:val="24"/>
            <w:u w:val="none"/>
            <w:lang w:val="en-US"/>
          </w:rPr>
          <w:t>iblock</w:t>
        </w:r>
        <w:proofErr w:type="spellEnd"/>
        <w:r w:rsidRPr="000B6402">
          <w:rPr>
            <w:rStyle w:val="a9"/>
            <w:rFonts w:ascii="Times New Roman" w:hAnsi="Times New Roman" w:cs="Times New Roman"/>
            <w:color w:val="auto"/>
            <w:sz w:val="24"/>
            <w:szCs w:val="24"/>
            <w:u w:val="none"/>
          </w:rPr>
          <w:t>/3</w:t>
        </w:r>
        <w:r w:rsidRPr="000B6402">
          <w:rPr>
            <w:rStyle w:val="a9"/>
            <w:rFonts w:ascii="Times New Roman" w:hAnsi="Times New Roman" w:cs="Times New Roman"/>
            <w:color w:val="auto"/>
            <w:sz w:val="24"/>
            <w:szCs w:val="24"/>
            <w:u w:val="none"/>
            <w:lang w:val="en-US"/>
          </w:rPr>
          <w:t>e</w:t>
        </w:r>
        <w:r w:rsidRPr="000B6402">
          <w:rPr>
            <w:rStyle w:val="a9"/>
            <w:rFonts w:ascii="Times New Roman" w:hAnsi="Times New Roman" w:cs="Times New Roman"/>
            <w:color w:val="auto"/>
            <w:sz w:val="24"/>
            <w:szCs w:val="24"/>
            <w:u w:val="none"/>
          </w:rPr>
          <w:t>5/3</w:t>
        </w:r>
        <w:r w:rsidRPr="000B6402">
          <w:rPr>
            <w:rStyle w:val="a9"/>
            <w:rFonts w:ascii="Times New Roman" w:hAnsi="Times New Roman" w:cs="Times New Roman"/>
            <w:color w:val="auto"/>
            <w:sz w:val="24"/>
            <w:szCs w:val="24"/>
            <w:u w:val="none"/>
            <w:lang w:val="en-US"/>
          </w:rPr>
          <w:t>e</w:t>
        </w:r>
        <w:r w:rsidRPr="000B6402">
          <w:rPr>
            <w:rStyle w:val="a9"/>
            <w:rFonts w:ascii="Times New Roman" w:hAnsi="Times New Roman" w:cs="Times New Roman"/>
            <w:color w:val="auto"/>
            <w:sz w:val="24"/>
            <w:szCs w:val="24"/>
            <w:u w:val="none"/>
          </w:rPr>
          <w:t>5941</w:t>
        </w:r>
        <w:r w:rsidRPr="000B6402">
          <w:rPr>
            <w:rStyle w:val="a9"/>
            <w:rFonts w:ascii="Times New Roman" w:hAnsi="Times New Roman" w:cs="Times New Roman"/>
            <w:color w:val="auto"/>
            <w:sz w:val="24"/>
            <w:szCs w:val="24"/>
            <w:u w:val="none"/>
            <w:lang w:val="en-US"/>
          </w:rPr>
          <w:t>f</w:t>
        </w:r>
        <w:r w:rsidRPr="000B6402">
          <w:rPr>
            <w:rStyle w:val="a9"/>
            <w:rFonts w:ascii="Times New Roman" w:hAnsi="Times New Roman" w:cs="Times New Roman"/>
            <w:color w:val="auto"/>
            <w:sz w:val="24"/>
            <w:szCs w:val="24"/>
            <w:u w:val="none"/>
          </w:rPr>
          <w:t>295</w:t>
        </w:r>
        <w:r w:rsidRPr="000B6402">
          <w:rPr>
            <w:rStyle w:val="a9"/>
            <w:rFonts w:ascii="Times New Roman" w:hAnsi="Times New Roman" w:cs="Times New Roman"/>
            <w:color w:val="auto"/>
            <w:sz w:val="24"/>
            <w:szCs w:val="24"/>
            <w:u w:val="none"/>
            <w:lang w:val="en-US"/>
          </w:rPr>
          <w:t>a</w:t>
        </w:r>
        <w:r w:rsidRPr="000B6402">
          <w:rPr>
            <w:rStyle w:val="a9"/>
            <w:rFonts w:ascii="Times New Roman" w:hAnsi="Times New Roman" w:cs="Times New Roman"/>
            <w:color w:val="auto"/>
            <w:sz w:val="24"/>
            <w:szCs w:val="24"/>
            <w:u w:val="none"/>
          </w:rPr>
          <w:t>77</w:t>
        </w:r>
        <w:proofErr w:type="spellStart"/>
        <w:r w:rsidRPr="000B6402">
          <w:rPr>
            <w:rStyle w:val="a9"/>
            <w:rFonts w:ascii="Times New Roman" w:hAnsi="Times New Roman" w:cs="Times New Roman"/>
            <w:color w:val="auto"/>
            <w:sz w:val="24"/>
            <w:szCs w:val="24"/>
            <w:u w:val="none"/>
            <w:lang w:val="en-US"/>
          </w:rPr>
          <w:t>fdcfed</w:t>
        </w:r>
        <w:proofErr w:type="spellEnd"/>
        <w:r w:rsidRPr="000B6402">
          <w:rPr>
            <w:rStyle w:val="a9"/>
            <w:rFonts w:ascii="Times New Roman" w:hAnsi="Times New Roman" w:cs="Times New Roman"/>
            <w:color w:val="auto"/>
            <w:sz w:val="24"/>
            <w:szCs w:val="24"/>
            <w:u w:val="none"/>
          </w:rPr>
          <w:t>2014</w:t>
        </w:r>
        <w:r w:rsidRPr="000B6402">
          <w:rPr>
            <w:rStyle w:val="a9"/>
            <w:rFonts w:ascii="Times New Roman" w:hAnsi="Times New Roman" w:cs="Times New Roman"/>
            <w:color w:val="auto"/>
            <w:sz w:val="24"/>
            <w:szCs w:val="24"/>
            <w:u w:val="none"/>
            <w:lang w:val="en-US"/>
          </w:rPr>
          <w:t>f</w:t>
        </w:r>
        <w:r w:rsidRPr="000B6402">
          <w:rPr>
            <w:rStyle w:val="a9"/>
            <w:rFonts w:ascii="Times New Roman" w:hAnsi="Times New Roman" w:cs="Times New Roman"/>
            <w:color w:val="auto"/>
            <w:sz w:val="24"/>
            <w:szCs w:val="24"/>
            <w:u w:val="none"/>
          </w:rPr>
          <w:t>82</w:t>
        </w:r>
        <w:proofErr w:type="spellStart"/>
        <w:r w:rsidRPr="000B6402">
          <w:rPr>
            <w:rStyle w:val="a9"/>
            <w:rFonts w:ascii="Times New Roman" w:hAnsi="Times New Roman" w:cs="Times New Roman"/>
            <w:color w:val="auto"/>
            <w:sz w:val="24"/>
            <w:szCs w:val="24"/>
            <w:u w:val="none"/>
            <w:lang w:val="en-US"/>
          </w:rPr>
          <w:t>ecf</w:t>
        </w:r>
        <w:proofErr w:type="spellEnd"/>
        <w:r w:rsidRPr="000B6402">
          <w:rPr>
            <w:rStyle w:val="a9"/>
            <w:rFonts w:ascii="Times New Roman" w:hAnsi="Times New Roman" w:cs="Times New Roman"/>
            <w:color w:val="auto"/>
            <w:sz w:val="24"/>
            <w:szCs w:val="24"/>
            <w:u w:val="none"/>
          </w:rPr>
          <w:t>37</w:t>
        </w:r>
        <w:r w:rsidRPr="000B6402">
          <w:rPr>
            <w:rStyle w:val="a9"/>
            <w:rFonts w:ascii="Times New Roman" w:hAnsi="Times New Roman" w:cs="Times New Roman"/>
            <w:color w:val="auto"/>
            <w:sz w:val="24"/>
            <w:szCs w:val="24"/>
            <w:u w:val="none"/>
            <w:lang w:val="en-US"/>
          </w:rPr>
          <w:t>f</w:t>
        </w:r>
        <w:r w:rsidRPr="000B6402">
          <w:rPr>
            <w:rStyle w:val="a9"/>
            <w:rFonts w:ascii="Times New Roman" w:hAnsi="Times New Roman" w:cs="Times New Roman"/>
            <w:color w:val="auto"/>
            <w:sz w:val="24"/>
            <w:szCs w:val="24"/>
            <w:u w:val="none"/>
          </w:rPr>
          <w:t>.</w:t>
        </w:r>
        <w:r w:rsidRPr="000B6402">
          <w:rPr>
            <w:rStyle w:val="a9"/>
            <w:rFonts w:ascii="Times New Roman" w:hAnsi="Times New Roman" w:cs="Times New Roman"/>
            <w:color w:val="auto"/>
            <w:sz w:val="24"/>
            <w:szCs w:val="24"/>
            <w:u w:val="none"/>
            <w:lang w:val="en-US"/>
          </w:rPr>
          <w:t>pdf</w:t>
        </w:r>
      </w:hyperlink>
    </w:p>
    <w:p w:rsidR="008F6E6F" w:rsidRPr="000B6402" w:rsidRDefault="00B6711F" w:rsidP="000B6402">
      <w:pPr>
        <w:pStyle w:val="a8"/>
        <w:numPr>
          <w:ilvl w:val="0"/>
          <w:numId w:val="1"/>
        </w:numPr>
        <w:spacing w:after="0" w:line="240" w:lineRule="auto"/>
        <w:ind w:left="0" w:firstLine="709"/>
        <w:jc w:val="both"/>
        <w:rPr>
          <w:rFonts w:ascii="Times New Roman" w:hAnsi="Times New Roman" w:cs="Times New Roman"/>
          <w:sz w:val="24"/>
          <w:szCs w:val="24"/>
        </w:rPr>
      </w:pPr>
      <w:r w:rsidRPr="000B6402">
        <w:rPr>
          <w:rFonts w:ascii="Times New Roman" w:hAnsi="Times New Roman" w:cs="Times New Roman"/>
          <w:sz w:val="24"/>
          <w:szCs w:val="24"/>
        </w:rPr>
        <w:t xml:space="preserve">Паспорт федерального проекта «Экспорт продукции АПК» (утв. протоколом заседания проектного комитета национального проекта «Международная кооперация и экспорт» от 14 декабря 2018 г. № 5). – [Электронный ресурс] – URL: </w:t>
      </w:r>
      <w:hyperlink r:id="rId11" w:history="1">
        <w:r w:rsidRPr="000B6402">
          <w:rPr>
            <w:rStyle w:val="a9"/>
            <w:rFonts w:ascii="Times New Roman" w:hAnsi="Times New Roman" w:cs="Times New Roman"/>
            <w:color w:val="auto"/>
            <w:sz w:val="24"/>
            <w:szCs w:val="24"/>
            <w:u w:val="none"/>
          </w:rPr>
          <w:t>http://mcx.ru/ministry/departments/departament-informatsionnoy-politiki-i-spetsialnykh-proektov/industry-information/info-federalnyi-proekt-eksport/</w:t>
        </w:r>
      </w:hyperlink>
    </w:p>
    <w:p w:rsidR="00B6711F" w:rsidRPr="000B6402" w:rsidRDefault="00FE5D66" w:rsidP="00E64D0D">
      <w:pPr>
        <w:pStyle w:val="a8"/>
        <w:numPr>
          <w:ilvl w:val="0"/>
          <w:numId w:val="1"/>
        </w:numPr>
        <w:spacing w:after="0" w:line="240" w:lineRule="auto"/>
        <w:ind w:left="0" w:firstLine="709"/>
        <w:jc w:val="both"/>
        <w:rPr>
          <w:rFonts w:ascii="Times New Roman" w:hAnsi="Times New Roman" w:cs="Times New Roman"/>
          <w:sz w:val="24"/>
          <w:szCs w:val="24"/>
        </w:rPr>
      </w:pPr>
      <w:r w:rsidRPr="000B6402">
        <w:rPr>
          <w:rFonts w:ascii="Times New Roman" w:hAnsi="Times New Roman" w:cs="Times New Roman"/>
          <w:sz w:val="24"/>
          <w:szCs w:val="24"/>
        </w:rPr>
        <w:t>К 2030 году экспорт продовольствия вырастет в 1,5 раза / Российская газета от 26.11.2024. –</w:t>
      </w:r>
      <w:r w:rsidR="003F1104" w:rsidRPr="003F1104">
        <w:rPr>
          <w:rFonts w:ascii="Times New Roman" w:hAnsi="Times New Roman" w:cs="Times New Roman"/>
          <w:sz w:val="24"/>
          <w:szCs w:val="24"/>
        </w:rPr>
        <w:t xml:space="preserve"> [Электронный ресурс] -</w:t>
      </w:r>
      <w:r w:rsidRPr="000B6402">
        <w:rPr>
          <w:rFonts w:ascii="Times New Roman" w:hAnsi="Times New Roman" w:cs="Times New Roman"/>
          <w:sz w:val="24"/>
          <w:szCs w:val="24"/>
        </w:rPr>
        <w:t xml:space="preserve"> URL: </w:t>
      </w:r>
      <w:hyperlink r:id="rId12" w:history="1">
        <w:r w:rsidRPr="000B6402">
          <w:rPr>
            <w:rStyle w:val="a9"/>
            <w:rFonts w:ascii="Times New Roman" w:hAnsi="Times New Roman" w:cs="Times New Roman"/>
            <w:color w:val="auto"/>
            <w:sz w:val="24"/>
            <w:szCs w:val="24"/>
            <w:u w:val="none"/>
          </w:rPr>
          <w:t>https://rg.ru/2024/11/26/k-2030-godu-eksport-prodovolstviia-vyrastet-v-15-raza.html?ysclid=ma0u59qhor409072296</w:t>
        </w:r>
      </w:hyperlink>
    </w:p>
    <w:p w:rsidR="00FE5D66" w:rsidRPr="000B6402" w:rsidRDefault="00826895" w:rsidP="000B6402">
      <w:pPr>
        <w:pStyle w:val="a8"/>
        <w:numPr>
          <w:ilvl w:val="0"/>
          <w:numId w:val="1"/>
        </w:numPr>
        <w:spacing w:after="0" w:line="240" w:lineRule="auto"/>
        <w:ind w:left="0" w:firstLine="709"/>
        <w:jc w:val="both"/>
        <w:rPr>
          <w:rFonts w:ascii="Times New Roman" w:hAnsi="Times New Roman" w:cs="Times New Roman"/>
          <w:sz w:val="24"/>
          <w:szCs w:val="24"/>
        </w:rPr>
      </w:pPr>
      <w:r w:rsidRPr="000B6402">
        <w:rPr>
          <w:rFonts w:ascii="Times New Roman" w:hAnsi="Times New Roman" w:cs="Times New Roman"/>
          <w:sz w:val="24"/>
          <w:szCs w:val="24"/>
        </w:rPr>
        <w:t xml:space="preserve">Трифонова Е.Н. Оценка факторов, влияющих на экспорт продовольствия российских регионов // Экономика региона. – 2023. - №19(4), с.1209-1223. </w:t>
      </w:r>
      <w:hyperlink r:id="rId13" w:history="1">
        <w:r w:rsidRPr="000B6402">
          <w:rPr>
            <w:rStyle w:val="a9"/>
            <w:rFonts w:ascii="Times New Roman" w:hAnsi="Times New Roman" w:cs="Times New Roman"/>
            <w:color w:val="auto"/>
            <w:sz w:val="24"/>
            <w:szCs w:val="24"/>
            <w:u w:val="none"/>
          </w:rPr>
          <w:t>https://doi.org/10.17059/ekon.reg.2023-4-19</w:t>
        </w:r>
      </w:hyperlink>
    </w:p>
    <w:p w:rsidR="00826895" w:rsidRPr="000B6402" w:rsidRDefault="00745A50" w:rsidP="00E64D0D">
      <w:pPr>
        <w:pStyle w:val="a8"/>
        <w:numPr>
          <w:ilvl w:val="0"/>
          <w:numId w:val="1"/>
        </w:numPr>
        <w:spacing w:after="0" w:line="240" w:lineRule="auto"/>
        <w:ind w:left="0" w:firstLine="709"/>
        <w:jc w:val="both"/>
        <w:rPr>
          <w:rFonts w:ascii="Times New Roman" w:hAnsi="Times New Roman" w:cs="Times New Roman"/>
          <w:sz w:val="24"/>
          <w:szCs w:val="24"/>
        </w:rPr>
      </w:pPr>
      <w:r w:rsidRPr="000B6402">
        <w:rPr>
          <w:rFonts w:ascii="Times New Roman" w:hAnsi="Times New Roman" w:cs="Times New Roman"/>
          <w:sz w:val="24"/>
          <w:szCs w:val="24"/>
        </w:rPr>
        <w:t>Минсельхоз в экспорте продукции АПК делает ставку на продукцию переработки / Интерфакс от 6 июня 2024 года.</w:t>
      </w:r>
      <w:r w:rsidR="003F1104" w:rsidRPr="003F1104">
        <w:rPr>
          <w:rFonts w:ascii="Times New Roman" w:hAnsi="Times New Roman" w:cs="Times New Roman"/>
          <w:sz w:val="24"/>
          <w:szCs w:val="24"/>
        </w:rPr>
        <w:t xml:space="preserve"> - [Электронный ресурс] -</w:t>
      </w:r>
      <w:r w:rsidRPr="000B6402">
        <w:rPr>
          <w:rFonts w:ascii="Times New Roman" w:hAnsi="Times New Roman" w:cs="Times New Roman"/>
          <w:sz w:val="24"/>
          <w:szCs w:val="24"/>
        </w:rPr>
        <w:t xml:space="preserve"> URL: </w:t>
      </w:r>
      <w:hyperlink r:id="rId14" w:history="1">
        <w:r w:rsidRPr="000B6402">
          <w:rPr>
            <w:rStyle w:val="a9"/>
            <w:rFonts w:ascii="Times New Roman" w:hAnsi="Times New Roman" w:cs="Times New Roman"/>
            <w:color w:val="auto"/>
            <w:sz w:val="24"/>
            <w:szCs w:val="24"/>
            <w:u w:val="none"/>
          </w:rPr>
          <w:t>https://www.interfax.ru/spief2024/965398</w:t>
        </w:r>
      </w:hyperlink>
    </w:p>
    <w:p w:rsidR="008C40B8" w:rsidRPr="000B6402" w:rsidRDefault="008C40B8" w:rsidP="000B6402">
      <w:pPr>
        <w:pStyle w:val="a8"/>
        <w:numPr>
          <w:ilvl w:val="0"/>
          <w:numId w:val="1"/>
        </w:numPr>
        <w:spacing w:after="0" w:line="240" w:lineRule="auto"/>
        <w:ind w:left="0" w:firstLine="709"/>
        <w:jc w:val="both"/>
        <w:rPr>
          <w:rFonts w:ascii="Times New Roman" w:hAnsi="Times New Roman" w:cs="Times New Roman"/>
          <w:sz w:val="24"/>
          <w:szCs w:val="24"/>
        </w:rPr>
      </w:pPr>
      <w:r w:rsidRPr="000B6402">
        <w:rPr>
          <w:rFonts w:ascii="Times New Roman" w:hAnsi="Times New Roman" w:cs="Times New Roman"/>
          <w:sz w:val="24"/>
          <w:szCs w:val="24"/>
        </w:rPr>
        <w:t xml:space="preserve">Трифонова Е.Н. Прогнозные тенденции развития пищевой и перерабатывающей промышленности России // Региональные </w:t>
      </w:r>
      <w:proofErr w:type="spellStart"/>
      <w:r w:rsidRPr="000B6402">
        <w:rPr>
          <w:rFonts w:ascii="Times New Roman" w:hAnsi="Times New Roman" w:cs="Times New Roman"/>
          <w:sz w:val="24"/>
          <w:szCs w:val="24"/>
        </w:rPr>
        <w:t>агросистемы</w:t>
      </w:r>
      <w:proofErr w:type="spellEnd"/>
      <w:r w:rsidRPr="000B6402">
        <w:rPr>
          <w:rFonts w:ascii="Times New Roman" w:hAnsi="Times New Roman" w:cs="Times New Roman"/>
          <w:sz w:val="24"/>
          <w:szCs w:val="24"/>
        </w:rPr>
        <w:t>: экономика и социология. 2024. № 4. C. 16-22.</w:t>
      </w:r>
    </w:p>
    <w:p w:rsidR="00542D79" w:rsidRDefault="00542D79" w:rsidP="00A741BF">
      <w:pPr>
        <w:spacing w:after="0" w:line="240" w:lineRule="auto"/>
        <w:ind w:firstLine="709"/>
        <w:rPr>
          <w:rFonts w:ascii="Times New Roman" w:hAnsi="Times New Roman" w:cs="Times New Roman"/>
          <w:sz w:val="24"/>
          <w:szCs w:val="24"/>
        </w:rPr>
      </w:pPr>
    </w:p>
    <w:p w:rsidR="00376FE6" w:rsidRPr="00376FE6" w:rsidRDefault="00376FE6" w:rsidP="00376FE6">
      <w:pPr>
        <w:spacing w:after="0" w:line="240" w:lineRule="auto"/>
        <w:ind w:firstLine="709"/>
        <w:jc w:val="center"/>
        <w:rPr>
          <w:rFonts w:ascii="Times New Roman" w:hAnsi="Times New Roman" w:cs="Times New Roman"/>
          <w:b/>
          <w:sz w:val="24"/>
          <w:szCs w:val="24"/>
        </w:rPr>
      </w:pPr>
      <w:r w:rsidRPr="00376FE6">
        <w:rPr>
          <w:rFonts w:ascii="Times New Roman" w:hAnsi="Times New Roman" w:cs="Times New Roman"/>
          <w:b/>
          <w:sz w:val="24"/>
          <w:szCs w:val="24"/>
        </w:rPr>
        <w:t>Информация об авторе:</w:t>
      </w:r>
    </w:p>
    <w:p w:rsidR="00376FE6" w:rsidRDefault="00686F7C" w:rsidP="00686F7C">
      <w:pPr>
        <w:spacing w:after="0" w:line="240" w:lineRule="auto"/>
        <w:ind w:firstLine="709"/>
        <w:jc w:val="both"/>
        <w:rPr>
          <w:rFonts w:ascii="Times New Roman" w:hAnsi="Times New Roman" w:cs="Times New Roman"/>
          <w:sz w:val="24"/>
          <w:szCs w:val="24"/>
        </w:rPr>
      </w:pPr>
      <w:r w:rsidRPr="00056522">
        <w:rPr>
          <w:rFonts w:ascii="Times New Roman" w:hAnsi="Times New Roman" w:cs="Times New Roman"/>
          <w:b/>
          <w:sz w:val="24"/>
          <w:szCs w:val="24"/>
        </w:rPr>
        <w:t>Трифонова Елена Николаевна</w:t>
      </w:r>
      <w:r w:rsidR="00056522">
        <w:rPr>
          <w:rFonts w:ascii="Times New Roman" w:hAnsi="Times New Roman" w:cs="Times New Roman"/>
          <w:sz w:val="24"/>
          <w:szCs w:val="24"/>
        </w:rPr>
        <w:t xml:space="preserve"> (Россия, г. Саратов)</w:t>
      </w:r>
      <w:r w:rsidRPr="00686F7C">
        <w:rPr>
          <w:rFonts w:ascii="Times New Roman" w:hAnsi="Times New Roman" w:cs="Times New Roman"/>
          <w:sz w:val="24"/>
          <w:szCs w:val="24"/>
        </w:rPr>
        <w:t>,</w:t>
      </w:r>
      <w:r w:rsidR="00C865C9">
        <w:rPr>
          <w:rFonts w:ascii="Times New Roman" w:hAnsi="Times New Roman" w:cs="Times New Roman"/>
          <w:sz w:val="24"/>
          <w:szCs w:val="24"/>
        </w:rPr>
        <w:t xml:space="preserve"> к.э.н., доцент, старший научный сотрудник лаборатории инновационного развития производственного потенциала агропродовольственного комплекса</w:t>
      </w:r>
      <w:r w:rsidRPr="00686F7C">
        <w:rPr>
          <w:rFonts w:ascii="Times New Roman" w:hAnsi="Times New Roman" w:cs="Times New Roman"/>
          <w:sz w:val="24"/>
          <w:szCs w:val="24"/>
        </w:rPr>
        <w:t xml:space="preserve"> Институт</w:t>
      </w:r>
      <w:r w:rsidR="006A74B0">
        <w:rPr>
          <w:rFonts w:ascii="Times New Roman" w:hAnsi="Times New Roman" w:cs="Times New Roman"/>
          <w:sz w:val="24"/>
          <w:szCs w:val="24"/>
        </w:rPr>
        <w:t>а аграрных проблем – обособленного структурного подразделения</w:t>
      </w:r>
      <w:r w:rsidRPr="00686F7C">
        <w:rPr>
          <w:rFonts w:ascii="Times New Roman" w:hAnsi="Times New Roman" w:cs="Times New Roman"/>
          <w:sz w:val="24"/>
          <w:szCs w:val="24"/>
        </w:rPr>
        <w:t xml:space="preserve"> Федерального государственного бюджетного учреждения науки Федерального исследовательского центра «Саратовский научный ц</w:t>
      </w:r>
      <w:r w:rsidR="000450E9">
        <w:rPr>
          <w:rFonts w:ascii="Times New Roman" w:hAnsi="Times New Roman" w:cs="Times New Roman"/>
          <w:sz w:val="24"/>
          <w:szCs w:val="24"/>
        </w:rPr>
        <w:t>ентр Российской академии наук» (</w:t>
      </w:r>
      <w:r w:rsidR="003E523C" w:rsidRPr="003E523C">
        <w:rPr>
          <w:rFonts w:ascii="Times New Roman" w:hAnsi="Times New Roman" w:cs="Times New Roman"/>
          <w:sz w:val="24"/>
          <w:szCs w:val="24"/>
        </w:rPr>
        <w:t>410012</w:t>
      </w:r>
      <w:r w:rsidR="003E523C">
        <w:rPr>
          <w:rFonts w:ascii="Times New Roman" w:hAnsi="Times New Roman" w:cs="Times New Roman"/>
          <w:sz w:val="24"/>
          <w:szCs w:val="24"/>
        </w:rPr>
        <w:t xml:space="preserve"> </w:t>
      </w:r>
      <w:r w:rsidR="000450E9">
        <w:rPr>
          <w:rFonts w:ascii="Times New Roman" w:hAnsi="Times New Roman" w:cs="Times New Roman"/>
          <w:sz w:val="24"/>
          <w:szCs w:val="24"/>
        </w:rPr>
        <w:t>г.</w:t>
      </w:r>
      <w:r w:rsidR="00C92A85">
        <w:rPr>
          <w:rFonts w:ascii="Times New Roman" w:hAnsi="Times New Roman" w:cs="Times New Roman"/>
          <w:sz w:val="24"/>
          <w:szCs w:val="24"/>
        </w:rPr>
        <w:t xml:space="preserve"> </w:t>
      </w:r>
      <w:r w:rsidR="000450E9">
        <w:rPr>
          <w:rFonts w:ascii="Times New Roman" w:hAnsi="Times New Roman" w:cs="Times New Roman"/>
          <w:sz w:val="24"/>
          <w:szCs w:val="24"/>
        </w:rPr>
        <w:t>Саратов,</w:t>
      </w:r>
      <w:r w:rsidR="00C92A85">
        <w:rPr>
          <w:rFonts w:ascii="Times New Roman" w:hAnsi="Times New Roman" w:cs="Times New Roman"/>
          <w:sz w:val="24"/>
          <w:szCs w:val="24"/>
        </w:rPr>
        <w:t xml:space="preserve"> ул. Московск</w:t>
      </w:r>
      <w:r w:rsidR="00C92A85" w:rsidRPr="00FE017E">
        <w:rPr>
          <w:rFonts w:ascii="Times New Roman" w:hAnsi="Times New Roman" w:cs="Times New Roman"/>
          <w:sz w:val="24"/>
          <w:szCs w:val="24"/>
        </w:rPr>
        <w:t>ая,</w:t>
      </w:r>
      <w:r w:rsidR="000450E9" w:rsidRPr="00FE017E">
        <w:rPr>
          <w:rFonts w:ascii="Times New Roman" w:hAnsi="Times New Roman" w:cs="Times New Roman"/>
          <w:sz w:val="24"/>
          <w:szCs w:val="24"/>
        </w:rPr>
        <w:t xml:space="preserve"> 94)</w:t>
      </w:r>
      <w:r w:rsidR="003E523C" w:rsidRPr="00FE017E">
        <w:rPr>
          <w:rFonts w:ascii="Times New Roman" w:hAnsi="Times New Roman" w:cs="Times New Roman"/>
          <w:sz w:val="24"/>
          <w:szCs w:val="24"/>
        </w:rPr>
        <w:t>,</w:t>
      </w:r>
      <w:r w:rsidRPr="00FE017E">
        <w:rPr>
          <w:rFonts w:ascii="Times New Roman" w:hAnsi="Times New Roman" w:cs="Times New Roman"/>
          <w:sz w:val="24"/>
          <w:szCs w:val="24"/>
        </w:rPr>
        <w:t xml:space="preserve"> </w:t>
      </w:r>
      <w:hyperlink r:id="rId15" w:history="1">
        <w:r w:rsidR="00FE017E" w:rsidRPr="00FE017E">
          <w:rPr>
            <w:rStyle w:val="a9"/>
            <w:rFonts w:ascii="Times New Roman" w:hAnsi="Times New Roman" w:cs="Times New Roman"/>
            <w:color w:val="auto"/>
            <w:sz w:val="24"/>
            <w:szCs w:val="24"/>
            <w:u w:val="none"/>
          </w:rPr>
          <w:t>trif-elena@yandex.ru</w:t>
        </w:r>
      </w:hyperlink>
    </w:p>
    <w:p w:rsidR="00FE017E" w:rsidRDefault="00FE017E" w:rsidP="00686F7C">
      <w:pPr>
        <w:spacing w:after="0" w:line="240" w:lineRule="auto"/>
        <w:ind w:firstLine="709"/>
        <w:jc w:val="both"/>
        <w:rPr>
          <w:rFonts w:ascii="Times New Roman" w:hAnsi="Times New Roman" w:cs="Times New Roman"/>
          <w:sz w:val="24"/>
          <w:szCs w:val="24"/>
        </w:rPr>
      </w:pPr>
    </w:p>
    <w:p w:rsidR="003A3F16" w:rsidRPr="003A3F16" w:rsidRDefault="003A3F16" w:rsidP="003A3F16">
      <w:pPr>
        <w:spacing w:after="0" w:line="240" w:lineRule="auto"/>
        <w:ind w:firstLine="709"/>
        <w:jc w:val="right"/>
        <w:rPr>
          <w:rFonts w:ascii="Times New Roman" w:hAnsi="Times New Roman" w:cs="Times New Roman"/>
          <w:b/>
          <w:sz w:val="24"/>
          <w:szCs w:val="24"/>
          <w:lang w:val="en-US"/>
        </w:rPr>
      </w:pPr>
      <w:proofErr w:type="spellStart"/>
      <w:r w:rsidRPr="003A3F16">
        <w:rPr>
          <w:rFonts w:ascii="Times New Roman" w:hAnsi="Times New Roman" w:cs="Times New Roman"/>
          <w:b/>
          <w:sz w:val="24"/>
          <w:szCs w:val="24"/>
          <w:lang w:val="en-US"/>
        </w:rPr>
        <w:t>Trifonova</w:t>
      </w:r>
      <w:proofErr w:type="spellEnd"/>
      <w:r w:rsidRPr="003A3F16">
        <w:rPr>
          <w:rFonts w:ascii="Times New Roman" w:hAnsi="Times New Roman" w:cs="Times New Roman"/>
          <w:b/>
          <w:sz w:val="24"/>
          <w:szCs w:val="24"/>
          <w:lang w:val="en-US"/>
        </w:rPr>
        <w:t xml:space="preserve"> E.N.</w:t>
      </w:r>
    </w:p>
    <w:p w:rsidR="003A3F16" w:rsidRPr="003A3F16" w:rsidRDefault="003A3F16" w:rsidP="003A3F16">
      <w:pPr>
        <w:spacing w:after="0" w:line="240" w:lineRule="auto"/>
        <w:ind w:firstLine="709"/>
        <w:jc w:val="center"/>
        <w:rPr>
          <w:rFonts w:ascii="Times New Roman" w:hAnsi="Times New Roman" w:cs="Times New Roman"/>
          <w:b/>
          <w:sz w:val="24"/>
          <w:szCs w:val="24"/>
          <w:lang w:val="en-US"/>
        </w:rPr>
      </w:pPr>
      <w:r w:rsidRPr="003A3F16">
        <w:rPr>
          <w:rFonts w:ascii="Times New Roman" w:hAnsi="Times New Roman" w:cs="Times New Roman"/>
          <w:b/>
          <w:sz w:val="24"/>
          <w:szCs w:val="24"/>
          <w:lang w:val="en-US"/>
        </w:rPr>
        <w:t>MAIN FACTORS INFLUENCING THE DEVELOPMENT TRENDS OF THE FOOD INDUSTRY IN RUSSIA</w:t>
      </w:r>
    </w:p>
    <w:p w:rsidR="003A3F16" w:rsidRPr="003A3F16" w:rsidRDefault="003A3F16" w:rsidP="003A3F16">
      <w:pPr>
        <w:spacing w:after="0" w:line="240" w:lineRule="auto"/>
        <w:ind w:firstLine="709"/>
        <w:jc w:val="both"/>
        <w:rPr>
          <w:rFonts w:ascii="Times New Roman" w:hAnsi="Times New Roman" w:cs="Times New Roman"/>
          <w:sz w:val="24"/>
          <w:szCs w:val="24"/>
          <w:lang w:val="en-US"/>
        </w:rPr>
      </w:pPr>
      <w:r w:rsidRPr="003A3F16">
        <w:rPr>
          <w:rFonts w:ascii="Times New Roman" w:hAnsi="Times New Roman" w:cs="Times New Roman"/>
          <w:b/>
          <w:sz w:val="24"/>
          <w:szCs w:val="24"/>
          <w:lang w:val="en-US"/>
        </w:rPr>
        <w:t>Abstract</w:t>
      </w:r>
      <w:r w:rsidRPr="003A3F16">
        <w:rPr>
          <w:rFonts w:ascii="Times New Roman" w:hAnsi="Times New Roman" w:cs="Times New Roman"/>
          <w:sz w:val="24"/>
          <w:szCs w:val="24"/>
          <w:lang w:val="en-US"/>
        </w:rPr>
        <w:t>: The state and main forecast trends of the development of the food and processing industry in Russia for the near future are studied. The factors influencing the sustainable growth of the processing industries are identified, and their dynamics for the period from 2011 to 2023 are analyzed.</w:t>
      </w:r>
    </w:p>
    <w:p w:rsidR="00FE017E" w:rsidRDefault="003A3F16" w:rsidP="003A3F16">
      <w:pPr>
        <w:spacing w:after="0" w:line="240" w:lineRule="auto"/>
        <w:ind w:firstLine="709"/>
        <w:jc w:val="both"/>
        <w:rPr>
          <w:rFonts w:ascii="Times New Roman" w:hAnsi="Times New Roman" w:cs="Times New Roman"/>
          <w:sz w:val="24"/>
          <w:szCs w:val="24"/>
          <w:lang w:val="en-US"/>
        </w:rPr>
      </w:pPr>
      <w:r w:rsidRPr="003A3F16">
        <w:rPr>
          <w:rFonts w:ascii="Times New Roman" w:hAnsi="Times New Roman" w:cs="Times New Roman"/>
          <w:b/>
          <w:sz w:val="24"/>
          <w:szCs w:val="24"/>
          <w:lang w:val="en-US"/>
        </w:rPr>
        <w:t>Keywords</w:t>
      </w:r>
      <w:r w:rsidRPr="003A3F16">
        <w:rPr>
          <w:rFonts w:ascii="Times New Roman" w:hAnsi="Times New Roman" w:cs="Times New Roman"/>
          <w:sz w:val="24"/>
          <w:szCs w:val="24"/>
          <w:lang w:val="en-US"/>
        </w:rPr>
        <w:t>: food and processing industry, export, import, food security, sustainable development</w:t>
      </w:r>
    </w:p>
    <w:p w:rsidR="006E1286" w:rsidRDefault="006E1286" w:rsidP="003A3F16">
      <w:pPr>
        <w:spacing w:after="0" w:line="240" w:lineRule="auto"/>
        <w:ind w:firstLine="709"/>
        <w:jc w:val="both"/>
        <w:rPr>
          <w:rFonts w:ascii="Times New Roman" w:hAnsi="Times New Roman" w:cs="Times New Roman"/>
          <w:sz w:val="24"/>
          <w:szCs w:val="24"/>
          <w:lang w:val="en-US"/>
        </w:rPr>
      </w:pPr>
    </w:p>
    <w:p w:rsidR="006E1286" w:rsidRPr="006E1286" w:rsidRDefault="006E1286" w:rsidP="006E1286">
      <w:pPr>
        <w:spacing w:after="0" w:line="240" w:lineRule="auto"/>
        <w:ind w:firstLine="709"/>
        <w:jc w:val="center"/>
        <w:rPr>
          <w:rFonts w:ascii="Times New Roman" w:hAnsi="Times New Roman" w:cs="Times New Roman"/>
          <w:b/>
          <w:sz w:val="24"/>
          <w:szCs w:val="24"/>
          <w:lang w:val="en-US"/>
        </w:rPr>
      </w:pPr>
      <w:r w:rsidRPr="006E1286">
        <w:rPr>
          <w:rFonts w:ascii="Times New Roman" w:hAnsi="Times New Roman" w:cs="Times New Roman"/>
          <w:b/>
          <w:sz w:val="24"/>
          <w:szCs w:val="24"/>
          <w:lang w:val="en-US"/>
        </w:rPr>
        <w:t>Information about the author:</w:t>
      </w:r>
    </w:p>
    <w:p w:rsidR="006E1286" w:rsidRDefault="006E1286" w:rsidP="006E1286">
      <w:pPr>
        <w:spacing w:after="0" w:line="240" w:lineRule="auto"/>
        <w:ind w:firstLine="709"/>
        <w:jc w:val="both"/>
        <w:rPr>
          <w:rFonts w:ascii="Times New Roman" w:hAnsi="Times New Roman" w:cs="Times New Roman"/>
          <w:sz w:val="24"/>
          <w:szCs w:val="24"/>
          <w:lang w:val="en-US"/>
        </w:rPr>
      </w:pPr>
      <w:proofErr w:type="spellStart"/>
      <w:r w:rsidRPr="006E1286">
        <w:rPr>
          <w:rFonts w:ascii="Times New Roman" w:hAnsi="Times New Roman" w:cs="Times New Roman"/>
          <w:sz w:val="24"/>
          <w:szCs w:val="24"/>
          <w:lang w:val="en-US"/>
        </w:rPr>
        <w:t>Trifonova</w:t>
      </w:r>
      <w:proofErr w:type="spellEnd"/>
      <w:r w:rsidRPr="006E1286">
        <w:rPr>
          <w:rFonts w:ascii="Times New Roman" w:hAnsi="Times New Roman" w:cs="Times New Roman"/>
          <w:sz w:val="24"/>
          <w:szCs w:val="24"/>
          <w:lang w:val="en-US"/>
        </w:rPr>
        <w:t xml:space="preserve"> Elena </w:t>
      </w:r>
      <w:proofErr w:type="spellStart"/>
      <w:r w:rsidRPr="006E1286">
        <w:rPr>
          <w:rFonts w:ascii="Times New Roman" w:hAnsi="Times New Roman" w:cs="Times New Roman"/>
          <w:sz w:val="24"/>
          <w:szCs w:val="24"/>
          <w:lang w:val="en-US"/>
        </w:rPr>
        <w:t>Nikolaevna</w:t>
      </w:r>
      <w:proofErr w:type="spellEnd"/>
      <w:r w:rsidRPr="006E1286">
        <w:rPr>
          <w:rFonts w:ascii="Times New Roman" w:hAnsi="Times New Roman" w:cs="Times New Roman"/>
          <w:sz w:val="24"/>
          <w:szCs w:val="24"/>
          <w:lang w:val="en-US"/>
        </w:rPr>
        <w:t xml:space="preserve"> (Russia, Saratov), ​​PhD in Economics, Associate Professor, Senior Researcher, Laboratory of Innovative Development of Production Potential of the Agro-Food Complex, Institute of Agrarian Problems - Subdivision of the Federal State Budgetary Research Institution Saratov Federal Scientific Center of the Russian Academy of Sciences (410012, Saratov, </w:t>
      </w:r>
      <w:proofErr w:type="spellStart"/>
      <w:r w:rsidRPr="006E1286">
        <w:rPr>
          <w:rFonts w:ascii="Times New Roman" w:hAnsi="Times New Roman" w:cs="Times New Roman"/>
          <w:sz w:val="24"/>
          <w:szCs w:val="24"/>
          <w:lang w:val="en-US"/>
        </w:rPr>
        <w:t>Moskovskaya</w:t>
      </w:r>
      <w:proofErr w:type="spellEnd"/>
      <w:r w:rsidRPr="006E1286">
        <w:rPr>
          <w:rFonts w:ascii="Times New Roman" w:hAnsi="Times New Roman" w:cs="Times New Roman"/>
          <w:sz w:val="24"/>
          <w:szCs w:val="24"/>
          <w:lang w:val="en-US"/>
        </w:rPr>
        <w:t xml:space="preserve"> St., </w:t>
      </w:r>
      <w:r w:rsidRPr="00036A53">
        <w:rPr>
          <w:rFonts w:ascii="Times New Roman" w:hAnsi="Times New Roman" w:cs="Times New Roman"/>
          <w:sz w:val="24"/>
          <w:szCs w:val="24"/>
          <w:lang w:val="en-US"/>
        </w:rPr>
        <w:t xml:space="preserve">94), </w:t>
      </w:r>
      <w:hyperlink r:id="rId16" w:history="1">
        <w:r w:rsidR="00036A53" w:rsidRPr="00036A53">
          <w:rPr>
            <w:rStyle w:val="a9"/>
            <w:rFonts w:ascii="Times New Roman" w:hAnsi="Times New Roman" w:cs="Times New Roman"/>
            <w:color w:val="auto"/>
            <w:sz w:val="24"/>
            <w:szCs w:val="24"/>
            <w:u w:val="none"/>
            <w:lang w:val="en-US"/>
          </w:rPr>
          <w:t>trif-elena@yandex.ru</w:t>
        </w:r>
      </w:hyperlink>
    </w:p>
    <w:p w:rsidR="00036A53" w:rsidRDefault="00036A53" w:rsidP="006E1286">
      <w:pPr>
        <w:spacing w:after="0" w:line="240" w:lineRule="auto"/>
        <w:ind w:firstLine="709"/>
        <w:jc w:val="both"/>
        <w:rPr>
          <w:rFonts w:ascii="Times New Roman" w:hAnsi="Times New Roman" w:cs="Times New Roman"/>
          <w:sz w:val="24"/>
          <w:szCs w:val="24"/>
          <w:lang w:val="en-US"/>
        </w:rPr>
      </w:pPr>
    </w:p>
    <w:p w:rsidR="00036A53" w:rsidRPr="00036A53" w:rsidRDefault="00036A53" w:rsidP="00036A53">
      <w:pPr>
        <w:spacing w:after="0" w:line="240" w:lineRule="auto"/>
        <w:ind w:firstLine="709"/>
        <w:jc w:val="center"/>
        <w:rPr>
          <w:rFonts w:ascii="Times New Roman" w:hAnsi="Times New Roman" w:cs="Times New Roman"/>
          <w:b/>
          <w:sz w:val="24"/>
          <w:szCs w:val="24"/>
          <w:lang w:val="en-US"/>
        </w:rPr>
      </w:pPr>
      <w:r w:rsidRPr="00036A53">
        <w:rPr>
          <w:rFonts w:ascii="Times New Roman" w:hAnsi="Times New Roman" w:cs="Times New Roman"/>
          <w:b/>
          <w:sz w:val="24"/>
          <w:szCs w:val="24"/>
          <w:lang w:val="en-US"/>
        </w:rPr>
        <w:t>Bibliographic list:</w:t>
      </w:r>
    </w:p>
    <w:p w:rsidR="00036A53" w:rsidRPr="00036A53" w:rsidRDefault="00036A53" w:rsidP="00036A53">
      <w:pPr>
        <w:spacing w:after="0" w:line="240" w:lineRule="auto"/>
        <w:ind w:firstLine="709"/>
        <w:jc w:val="both"/>
        <w:rPr>
          <w:rFonts w:ascii="Times New Roman" w:hAnsi="Times New Roman" w:cs="Times New Roman"/>
          <w:sz w:val="24"/>
          <w:szCs w:val="24"/>
          <w:lang w:val="en-US"/>
        </w:rPr>
      </w:pPr>
      <w:r w:rsidRPr="00036A53">
        <w:rPr>
          <w:rFonts w:ascii="Times New Roman" w:hAnsi="Times New Roman" w:cs="Times New Roman"/>
          <w:sz w:val="24"/>
          <w:szCs w:val="24"/>
          <w:lang w:val="en-US"/>
        </w:rPr>
        <w:t>1. The Doctrine of Food Security of the Russian Federation (approved by the Decree of the President of the Russian Federation of January 21, 2020, No. 20). – [Electronic resource] – URL: https://mcx.gov.ru/upload/iblock/3e5/3e5941f295a77fdcfed2014f82ecf37f.pdf</w:t>
      </w:r>
    </w:p>
    <w:p w:rsidR="00036A53" w:rsidRPr="00036A53" w:rsidRDefault="00036A53" w:rsidP="00036A53">
      <w:pPr>
        <w:spacing w:after="0" w:line="240" w:lineRule="auto"/>
        <w:ind w:firstLine="709"/>
        <w:jc w:val="both"/>
        <w:rPr>
          <w:rFonts w:ascii="Times New Roman" w:hAnsi="Times New Roman" w:cs="Times New Roman"/>
          <w:sz w:val="24"/>
          <w:szCs w:val="24"/>
          <w:lang w:val="en-US"/>
        </w:rPr>
      </w:pPr>
      <w:r w:rsidRPr="00036A53">
        <w:rPr>
          <w:rFonts w:ascii="Times New Roman" w:hAnsi="Times New Roman" w:cs="Times New Roman"/>
          <w:sz w:val="24"/>
          <w:szCs w:val="24"/>
          <w:lang w:val="en-US"/>
        </w:rPr>
        <w:t xml:space="preserve">2. Passport of the federal project "Export of agricultural products" (approved by the minutes of the meeting of the project committee of the national project "International Cooperation and </w:t>
      </w:r>
      <w:r w:rsidRPr="00036A53">
        <w:rPr>
          <w:rFonts w:ascii="Times New Roman" w:hAnsi="Times New Roman" w:cs="Times New Roman"/>
          <w:sz w:val="24"/>
          <w:szCs w:val="24"/>
          <w:lang w:val="en-US"/>
        </w:rPr>
        <w:lastRenderedPageBreak/>
        <w:t>Export" dated December 14, 2018, No. 5). – [Electronic resource] – URL: http://mcx.ru/ministry/departments/departament-informatsionnoy-politiki-i-spetsialnykh-proektov/industry-information/info-federalnyi-proekt-eksport/</w:t>
      </w:r>
    </w:p>
    <w:p w:rsidR="00036A53" w:rsidRPr="00036A53" w:rsidRDefault="00036A53" w:rsidP="00036A53">
      <w:pPr>
        <w:spacing w:after="0" w:line="240" w:lineRule="auto"/>
        <w:ind w:firstLine="709"/>
        <w:jc w:val="both"/>
        <w:rPr>
          <w:rFonts w:ascii="Times New Roman" w:hAnsi="Times New Roman" w:cs="Times New Roman"/>
          <w:sz w:val="24"/>
          <w:szCs w:val="24"/>
          <w:lang w:val="en-US"/>
        </w:rPr>
      </w:pPr>
      <w:r w:rsidRPr="00036A53">
        <w:rPr>
          <w:rFonts w:ascii="Times New Roman" w:hAnsi="Times New Roman" w:cs="Times New Roman"/>
          <w:sz w:val="24"/>
          <w:szCs w:val="24"/>
          <w:lang w:val="en-US"/>
        </w:rPr>
        <w:t xml:space="preserve">3. By 2030, food exports will grow by 1.5 times / </w:t>
      </w:r>
      <w:proofErr w:type="spellStart"/>
      <w:r w:rsidRPr="00036A53">
        <w:rPr>
          <w:rFonts w:ascii="Times New Roman" w:hAnsi="Times New Roman" w:cs="Times New Roman"/>
          <w:sz w:val="24"/>
          <w:szCs w:val="24"/>
          <w:lang w:val="en-US"/>
        </w:rPr>
        <w:t>Rossiyskaya</w:t>
      </w:r>
      <w:proofErr w:type="spellEnd"/>
      <w:r w:rsidRPr="00036A53">
        <w:rPr>
          <w:rFonts w:ascii="Times New Roman" w:hAnsi="Times New Roman" w:cs="Times New Roman"/>
          <w:sz w:val="24"/>
          <w:szCs w:val="24"/>
          <w:lang w:val="en-US"/>
        </w:rPr>
        <w:t xml:space="preserve"> </w:t>
      </w:r>
      <w:proofErr w:type="spellStart"/>
      <w:r w:rsidRPr="00036A53">
        <w:rPr>
          <w:rFonts w:ascii="Times New Roman" w:hAnsi="Times New Roman" w:cs="Times New Roman"/>
          <w:sz w:val="24"/>
          <w:szCs w:val="24"/>
          <w:lang w:val="en-US"/>
        </w:rPr>
        <w:t>Gazeta</w:t>
      </w:r>
      <w:proofErr w:type="spellEnd"/>
      <w:r w:rsidRPr="00036A53">
        <w:rPr>
          <w:rFonts w:ascii="Times New Roman" w:hAnsi="Times New Roman" w:cs="Times New Roman"/>
          <w:sz w:val="24"/>
          <w:szCs w:val="24"/>
          <w:lang w:val="en-US"/>
        </w:rPr>
        <w:t xml:space="preserve"> dated 11/26/2024. – [Electronic resource] - URL: https://rg.ru/2024/11/26/k-2030-godu-eksport-prodovolstviia-vyrastet-v-15-raza.html?ysclid=ma0u59qhor409072296</w:t>
      </w:r>
    </w:p>
    <w:p w:rsidR="00036A53" w:rsidRPr="00036A53" w:rsidRDefault="00036A53" w:rsidP="00036A53">
      <w:pPr>
        <w:spacing w:after="0" w:line="240" w:lineRule="auto"/>
        <w:ind w:firstLine="709"/>
        <w:jc w:val="both"/>
        <w:rPr>
          <w:rFonts w:ascii="Times New Roman" w:hAnsi="Times New Roman" w:cs="Times New Roman"/>
          <w:sz w:val="24"/>
          <w:szCs w:val="24"/>
          <w:lang w:val="en-US"/>
        </w:rPr>
      </w:pPr>
      <w:r w:rsidRPr="00036A53">
        <w:rPr>
          <w:rFonts w:ascii="Times New Roman" w:hAnsi="Times New Roman" w:cs="Times New Roman"/>
          <w:sz w:val="24"/>
          <w:szCs w:val="24"/>
          <w:lang w:val="en-US"/>
        </w:rPr>
        <w:t xml:space="preserve">4. </w:t>
      </w:r>
      <w:proofErr w:type="spellStart"/>
      <w:r w:rsidRPr="00036A53">
        <w:rPr>
          <w:rFonts w:ascii="Times New Roman" w:hAnsi="Times New Roman" w:cs="Times New Roman"/>
          <w:sz w:val="24"/>
          <w:szCs w:val="24"/>
          <w:lang w:val="en-US"/>
        </w:rPr>
        <w:t>Trifonova</w:t>
      </w:r>
      <w:proofErr w:type="spellEnd"/>
      <w:r w:rsidRPr="00036A53">
        <w:rPr>
          <w:rFonts w:ascii="Times New Roman" w:hAnsi="Times New Roman" w:cs="Times New Roman"/>
          <w:sz w:val="24"/>
          <w:szCs w:val="24"/>
          <w:lang w:val="en-US"/>
        </w:rPr>
        <w:t xml:space="preserve"> E.N. Assessment of factors influencing food exports of Russian regions // Economy of the region. – 2023. - No. 19 (4), pp. 1209-1223. https://doi.org/10.17059/ekon.reg.2023-4-19</w:t>
      </w:r>
    </w:p>
    <w:p w:rsidR="00036A53" w:rsidRPr="00036A53" w:rsidRDefault="00036A53" w:rsidP="00036A53">
      <w:pPr>
        <w:spacing w:after="0" w:line="240" w:lineRule="auto"/>
        <w:ind w:firstLine="709"/>
        <w:jc w:val="both"/>
        <w:rPr>
          <w:rFonts w:ascii="Times New Roman" w:hAnsi="Times New Roman" w:cs="Times New Roman"/>
          <w:sz w:val="24"/>
          <w:szCs w:val="24"/>
          <w:lang w:val="en-US"/>
        </w:rPr>
      </w:pPr>
      <w:r w:rsidRPr="00036A53">
        <w:rPr>
          <w:rFonts w:ascii="Times New Roman" w:hAnsi="Times New Roman" w:cs="Times New Roman"/>
          <w:sz w:val="24"/>
          <w:szCs w:val="24"/>
          <w:lang w:val="en-US"/>
        </w:rPr>
        <w:t>5. The Ministry of Agriculture relies on processed products in the export of agricultural products / Interfax dated June 6, 2024. - [Electronic resource] - URL: https://www.interfax.ru/spief2024/965398</w:t>
      </w:r>
    </w:p>
    <w:p w:rsidR="007A4FCD" w:rsidRDefault="00E64D0D" w:rsidP="00036A53">
      <w:pPr>
        <w:spacing w:after="0" w:line="240" w:lineRule="auto"/>
        <w:ind w:firstLine="709"/>
        <w:jc w:val="both"/>
        <w:rPr>
          <w:rFonts w:ascii="Times New Roman" w:hAnsi="Times New Roman" w:cs="Times New Roman"/>
          <w:sz w:val="24"/>
          <w:szCs w:val="24"/>
          <w:lang w:val="en-US"/>
        </w:rPr>
      </w:pPr>
      <w:r w:rsidRPr="00E64D0D">
        <w:rPr>
          <w:rFonts w:ascii="Times New Roman" w:hAnsi="Times New Roman" w:cs="Times New Roman"/>
          <w:sz w:val="24"/>
          <w:szCs w:val="24"/>
          <w:lang w:val="en-US"/>
        </w:rPr>
        <w:t>6</w:t>
      </w:r>
      <w:r w:rsidR="00036A53" w:rsidRPr="00036A53">
        <w:rPr>
          <w:rFonts w:ascii="Times New Roman" w:hAnsi="Times New Roman" w:cs="Times New Roman"/>
          <w:sz w:val="24"/>
          <w:szCs w:val="24"/>
          <w:lang w:val="en-US"/>
        </w:rPr>
        <w:t xml:space="preserve">. </w:t>
      </w:r>
      <w:proofErr w:type="spellStart"/>
      <w:r w:rsidR="00036A53" w:rsidRPr="00036A53">
        <w:rPr>
          <w:rFonts w:ascii="Times New Roman" w:hAnsi="Times New Roman" w:cs="Times New Roman"/>
          <w:sz w:val="24"/>
          <w:szCs w:val="24"/>
          <w:lang w:val="en-US"/>
        </w:rPr>
        <w:t>Trifonova</w:t>
      </w:r>
      <w:proofErr w:type="spellEnd"/>
      <w:r w:rsidR="00036A53" w:rsidRPr="00036A53">
        <w:rPr>
          <w:rFonts w:ascii="Times New Roman" w:hAnsi="Times New Roman" w:cs="Times New Roman"/>
          <w:sz w:val="24"/>
          <w:szCs w:val="24"/>
          <w:lang w:val="en-US"/>
        </w:rPr>
        <w:t xml:space="preserve"> E.N. Forecast trends in the development of the food and processing industry of Russia // Regional </w:t>
      </w:r>
      <w:proofErr w:type="spellStart"/>
      <w:r w:rsidR="00036A53" w:rsidRPr="00036A53">
        <w:rPr>
          <w:rFonts w:ascii="Times New Roman" w:hAnsi="Times New Roman" w:cs="Times New Roman"/>
          <w:sz w:val="24"/>
          <w:szCs w:val="24"/>
          <w:lang w:val="en-US"/>
        </w:rPr>
        <w:t>agrosystems</w:t>
      </w:r>
      <w:proofErr w:type="spellEnd"/>
      <w:r w:rsidR="00036A53" w:rsidRPr="00036A53">
        <w:rPr>
          <w:rFonts w:ascii="Times New Roman" w:hAnsi="Times New Roman" w:cs="Times New Roman"/>
          <w:sz w:val="24"/>
          <w:szCs w:val="24"/>
          <w:lang w:val="en-US"/>
        </w:rPr>
        <w:t>: economics and sociology. 2024. No. 4. P. 16-2</w:t>
      </w:r>
      <w:bookmarkStart w:id="0" w:name="_GoBack"/>
      <w:bookmarkEnd w:id="0"/>
      <w:r w:rsidR="00036A53" w:rsidRPr="00036A53">
        <w:rPr>
          <w:rFonts w:ascii="Times New Roman" w:hAnsi="Times New Roman" w:cs="Times New Roman"/>
          <w:sz w:val="24"/>
          <w:szCs w:val="24"/>
          <w:lang w:val="en-US"/>
        </w:rPr>
        <w:t>2.</w:t>
      </w:r>
    </w:p>
    <w:sectPr w:rsidR="007A4FCD" w:rsidSect="00A741BF">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3A3C" w:rsidRDefault="00363A3C" w:rsidP="003E05B8">
      <w:pPr>
        <w:spacing w:after="0" w:line="240" w:lineRule="auto"/>
      </w:pPr>
      <w:r>
        <w:separator/>
      </w:r>
    </w:p>
  </w:endnote>
  <w:endnote w:type="continuationSeparator" w:id="0">
    <w:p w:rsidR="00363A3C" w:rsidRDefault="00363A3C" w:rsidP="003E05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3A3C" w:rsidRDefault="00363A3C" w:rsidP="003E05B8">
      <w:pPr>
        <w:spacing w:after="0" w:line="240" w:lineRule="auto"/>
      </w:pPr>
      <w:r>
        <w:separator/>
      </w:r>
    </w:p>
  </w:footnote>
  <w:footnote w:type="continuationSeparator" w:id="0">
    <w:p w:rsidR="00363A3C" w:rsidRDefault="00363A3C" w:rsidP="003E05B8">
      <w:pPr>
        <w:spacing w:after="0" w:line="240" w:lineRule="auto"/>
      </w:pPr>
      <w:r>
        <w:continuationSeparator/>
      </w:r>
    </w:p>
  </w:footnote>
  <w:footnote w:id="1">
    <w:p w:rsidR="00094B7F" w:rsidRDefault="00094B7F">
      <w:pPr>
        <w:pStyle w:val="a5"/>
      </w:pPr>
      <w:r>
        <w:rPr>
          <w:rStyle w:val="a7"/>
        </w:rPr>
        <w:footnoteRef/>
      </w:r>
      <w:r>
        <w:t xml:space="preserve"> </w:t>
      </w:r>
      <w:r w:rsidRPr="00094B7F">
        <w:t>Официальный сайт Федеральной службы государственной статистики.  - URL: https://rosstat.gov.ru/</w:t>
      </w:r>
    </w:p>
  </w:footnote>
  <w:footnote w:id="2">
    <w:p w:rsidR="00EF6F55" w:rsidRDefault="00EF6F55">
      <w:pPr>
        <w:pStyle w:val="a5"/>
      </w:pPr>
      <w:r>
        <w:rPr>
          <w:rStyle w:val="a7"/>
        </w:rPr>
        <w:footnoteRef/>
      </w:r>
      <w:r>
        <w:t xml:space="preserve"> </w:t>
      </w:r>
      <w:r w:rsidRPr="00EF6F55">
        <w:t>Официальный сайт Федеральной службы государственной статистики.  - URL: https://rosstat.gov.ru/</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2867FEB"/>
    <w:multiLevelType w:val="hybridMultilevel"/>
    <w:tmpl w:val="F978F72E"/>
    <w:lvl w:ilvl="0" w:tplc="5C98AA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7CB3"/>
    <w:rsid w:val="00006D36"/>
    <w:rsid w:val="00036A53"/>
    <w:rsid w:val="000450E9"/>
    <w:rsid w:val="00056522"/>
    <w:rsid w:val="00094B7F"/>
    <w:rsid w:val="000A17FB"/>
    <w:rsid w:val="000A321C"/>
    <w:rsid w:val="000B0BED"/>
    <w:rsid w:val="000B6402"/>
    <w:rsid w:val="000D118A"/>
    <w:rsid w:val="000F2B2C"/>
    <w:rsid w:val="00143079"/>
    <w:rsid w:val="00160C51"/>
    <w:rsid w:val="001B1029"/>
    <w:rsid w:val="001B3EC2"/>
    <w:rsid w:val="001E7518"/>
    <w:rsid w:val="001F6AAB"/>
    <w:rsid w:val="00235A73"/>
    <w:rsid w:val="0028344D"/>
    <w:rsid w:val="002E60E8"/>
    <w:rsid w:val="00322FF4"/>
    <w:rsid w:val="00327CA5"/>
    <w:rsid w:val="00363A3C"/>
    <w:rsid w:val="00376FE6"/>
    <w:rsid w:val="003A3F16"/>
    <w:rsid w:val="003D1F69"/>
    <w:rsid w:val="003E05B8"/>
    <w:rsid w:val="003E523C"/>
    <w:rsid w:val="003F1104"/>
    <w:rsid w:val="0041006D"/>
    <w:rsid w:val="00427D85"/>
    <w:rsid w:val="0047441D"/>
    <w:rsid w:val="00476A8A"/>
    <w:rsid w:val="00542D79"/>
    <w:rsid w:val="00561ADF"/>
    <w:rsid w:val="00562E22"/>
    <w:rsid w:val="00564332"/>
    <w:rsid w:val="00686F7C"/>
    <w:rsid w:val="006875B0"/>
    <w:rsid w:val="006958A8"/>
    <w:rsid w:val="006A74B0"/>
    <w:rsid w:val="006D0CB0"/>
    <w:rsid w:val="006D433F"/>
    <w:rsid w:val="006E1286"/>
    <w:rsid w:val="006F507D"/>
    <w:rsid w:val="00711CF6"/>
    <w:rsid w:val="00713781"/>
    <w:rsid w:val="00731F83"/>
    <w:rsid w:val="00745A50"/>
    <w:rsid w:val="00764E04"/>
    <w:rsid w:val="007A4FCD"/>
    <w:rsid w:val="00826895"/>
    <w:rsid w:val="00831793"/>
    <w:rsid w:val="008661B2"/>
    <w:rsid w:val="008B1003"/>
    <w:rsid w:val="008C40B8"/>
    <w:rsid w:val="008F6E6F"/>
    <w:rsid w:val="008F716B"/>
    <w:rsid w:val="00903C77"/>
    <w:rsid w:val="009230C0"/>
    <w:rsid w:val="00936133"/>
    <w:rsid w:val="00967285"/>
    <w:rsid w:val="009851F6"/>
    <w:rsid w:val="009E51FA"/>
    <w:rsid w:val="00A24619"/>
    <w:rsid w:val="00A72125"/>
    <w:rsid w:val="00A741BF"/>
    <w:rsid w:val="00AC7CB3"/>
    <w:rsid w:val="00AD646B"/>
    <w:rsid w:val="00AF0FCD"/>
    <w:rsid w:val="00B11E95"/>
    <w:rsid w:val="00B26FA0"/>
    <w:rsid w:val="00B6711F"/>
    <w:rsid w:val="00B92310"/>
    <w:rsid w:val="00BC304F"/>
    <w:rsid w:val="00C0353E"/>
    <w:rsid w:val="00C1456A"/>
    <w:rsid w:val="00C22367"/>
    <w:rsid w:val="00C42E7B"/>
    <w:rsid w:val="00C865C9"/>
    <w:rsid w:val="00C92A85"/>
    <w:rsid w:val="00D76DD7"/>
    <w:rsid w:val="00D80B8E"/>
    <w:rsid w:val="00D923D1"/>
    <w:rsid w:val="00E3128B"/>
    <w:rsid w:val="00E64D0D"/>
    <w:rsid w:val="00E75F47"/>
    <w:rsid w:val="00EF6F55"/>
    <w:rsid w:val="00F236D8"/>
    <w:rsid w:val="00F351F5"/>
    <w:rsid w:val="00F76E7B"/>
    <w:rsid w:val="00FE017E"/>
    <w:rsid w:val="00FE5D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BA2D2F"/>
  <w15:docId w15:val="{88B70091-6925-405F-BE97-DFA1C38A0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1378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13781"/>
    <w:rPr>
      <w:rFonts w:ascii="Tahoma" w:hAnsi="Tahoma" w:cs="Tahoma"/>
      <w:sz w:val="16"/>
      <w:szCs w:val="16"/>
    </w:rPr>
  </w:style>
  <w:style w:type="paragraph" w:styleId="a5">
    <w:name w:val="footnote text"/>
    <w:basedOn w:val="a"/>
    <w:link w:val="a6"/>
    <w:uiPriority w:val="99"/>
    <w:semiHidden/>
    <w:unhideWhenUsed/>
    <w:rsid w:val="003E05B8"/>
    <w:pPr>
      <w:spacing w:after="0" w:line="240" w:lineRule="auto"/>
    </w:pPr>
    <w:rPr>
      <w:sz w:val="20"/>
      <w:szCs w:val="20"/>
    </w:rPr>
  </w:style>
  <w:style w:type="character" w:customStyle="1" w:styleId="a6">
    <w:name w:val="Текст сноски Знак"/>
    <w:basedOn w:val="a0"/>
    <w:link w:val="a5"/>
    <w:uiPriority w:val="99"/>
    <w:semiHidden/>
    <w:rsid w:val="003E05B8"/>
    <w:rPr>
      <w:sz w:val="20"/>
      <w:szCs w:val="20"/>
    </w:rPr>
  </w:style>
  <w:style w:type="character" w:styleId="a7">
    <w:name w:val="footnote reference"/>
    <w:basedOn w:val="a0"/>
    <w:uiPriority w:val="99"/>
    <w:semiHidden/>
    <w:unhideWhenUsed/>
    <w:rsid w:val="003E05B8"/>
    <w:rPr>
      <w:vertAlign w:val="superscript"/>
    </w:rPr>
  </w:style>
  <w:style w:type="paragraph" w:styleId="a8">
    <w:name w:val="List Paragraph"/>
    <w:basedOn w:val="a"/>
    <w:uiPriority w:val="34"/>
    <w:qFormat/>
    <w:rsid w:val="008F6E6F"/>
    <w:pPr>
      <w:ind w:left="720"/>
      <w:contextualSpacing/>
    </w:pPr>
  </w:style>
  <w:style w:type="character" w:styleId="a9">
    <w:name w:val="Hyperlink"/>
    <w:basedOn w:val="a0"/>
    <w:uiPriority w:val="99"/>
    <w:unhideWhenUsed/>
    <w:rsid w:val="008F6E6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doi.org/10.17059/ekon.reg.2023-4-19"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rg.ru/2024/11/26/k-2030-godu-eksport-prodovolstviia-vyrastet-v-15-raza.html?ysclid=ma0u59qhor409072296"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trif-elena@yandex.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cx.ru/ministry/departments/departament-informatsionnoy-politiki-i-spetsialnykh-proektov/industry-information/info-federalnyi-proekt-eksport/" TargetMode="External"/><Relationship Id="rId5" Type="http://schemas.openxmlformats.org/officeDocument/2006/relationships/webSettings" Target="webSettings.xml"/><Relationship Id="rId15" Type="http://schemas.openxmlformats.org/officeDocument/2006/relationships/hyperlink" Target="mailto:trif-elena@yandex.ru" TargetMode="External"/><Relationship Id="rId10" Type="http://schemas.openxmlformats.org/officeDocument/2006/relationships/hyperlink" Target="https://mcx.gov.ru/upload/iblock/3e5/3e5941f295a77fdcfed2014f82ecf37f.pdf"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www.interfax.ru/spief2024/965398"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Лист1!$B$204</c:f>
              <c:strCache>
                <c:ptCount val="1"/>
                <c:pt idx="0">
                  <c:v>Ежегодные темпы прироста объема отгруженных товаров при производстве пищевых продуктов, напитков и табака</c:v>
                </c:pt>
              </c:strCache>
            </c:strRef>
          </c:tx>
          <c:spPr>
            <a:pattFill prst="pct50">
              <a:fgClr>
                <a:schemeClr val="tx1"/>
              </a:fgClr>
              <a:bgClr>
                <a:schemeClr val="bg1"/>
              </a:bgClr>
            </a:pattFill>
            <a:ln w="25400">
              <a:solidFill>
                <a:schemeClr val="tx1">
                  <a:lumMod val="65000"/>
                  <a:lumOff val="35000"/>
                </a:schemeClr>
              </a:solidFill>
            </a:ln>
          </c:spPr>
          <c:invertIfNegative val="0"/>
          <c:cat>
            <c:numRef>
              <c:f>Лист1!$C$203:$O$203</c:f>
              <c:numCache>
                <c:formatCode>General</c:formatCode>
                <c:ptCount val="13"/>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numCache>
            </c:numRef>
          </c:cat>
          <c:val>
            <c:numRef>
              <c:f>Лист1!$C$204:$O$204</c:f>
              <c:numCache>
                <c:formatCode>General</c:formatCode>
                <c:ptCount val="13"/>
                <c:pt idx="0">
                  <c:v>1.1042305334150828</c:v>
                </c:pt>
                <c:pt idx="1">
                  <c:v>1.1107717934480843</c:v>
                </c:pt>
                <c:pt idx="2">
                  <c:v>1.0677330667333167</c:v>
                </c:pt>
                <c:pt idx="3">
                  <c:v>1.1329588014981273</c:v>
                </c:pt>
                <c:pt idx="4">
                  <c:v>1.2553719008264463</c:v>
                </c:pt>
                <c:pt idx="5">
                  <c:v>1.0651744568795261</c:v>
                </c:pt>
                <c:pt idx="6">
                  <c:v>0.98145859085290477</c:v>
                </c:pt>
                <c:pt idx="7">
                  <c:v>1.0700566750629723</c:v>
                </c:pt>
                <c:pt idx="8">
                  <c:v>1.0951890539944094</c:v>
                </c:pt>
                <c:pt idx="9">
                  <c:v>1.1320526598602902</c:v>
                </c:pt>
                <c:pt idx="10">
                  <c:v>1.1610300225465764</c:v>
                </c:pt>
                <c:pt idx="11">
                  <c:v>1.1537816843826656</c:v>
                </c:pt>
                <c:pt idx="12">
                  <c:v>1.0600714880498909</c:v>
                </c:pt>
              </c:numCache>
            </c:numRef>
          </c:val>
          <c:extLst>
            <c:ext xmlns:c16="http://schemas.microsoft.com/office/drawing/2014/chart" uri="{C3380CC4-5D6E-409C-BE32-E72D297353CC}">
              <c16:uniqueId val="{00000000-D15C-48E6-A63F-9B58D9FF1E0D}"/>
            </c:ext>
          </c:extLst>
        </c:ser>
        <c:ser>
          <c:idx val="1"/>
          <c:order val="1"/>
          <c:tx>
            <c:strRef>
              <c:f>Лист1!$B$205</c:f>
              <c:strCache>
                <c:ptCount val="1"/>
                <c:pt idx="0">
                  <c:v>Ежегодные темпы прироста агроэкспорта</c:v>
                </c:pt>
              </c:strCache>
            </c:strRef>
          </c:tx>
          <c:spPr>
            <a:pattFill prst="ltHorz">
              <a:fgClr>
                <a:schemeClr val="tx1"/>
              </a:fgClr>
              <a:bgClr>
                <a:schemeClr val="bg1"/>
              </a:bgClr>
            </a:pattFill>
            <a:ln w="25400">
              <a:solidFill>
                <a:schemeClr val="tx1">
                  <a:lumMod val="50000"/>
                  <a:lumOff val="50000"/>
                </a:schemeClr>
              </a:solidFill>
            </a:ln>
          </c:spPr>
          <c:invertIfNegative val="0"/>
          <c:cat>
            <c:numRef>
              <c:f>Лист1!$C$203:$O$203</c:f>
              <c:numCache>
                <c:formatCode>General</c:formatCode>
                <c:ptCount val="13"/>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numCache>
            </c:numRef>
          </c:cat>
          <c:val>
            <c:numRef>
              <c:f>Лист1!$C$205:$O$205</c:f>
              <c:numCache>
                <c:formatCode>General</c:formatCode>
                <c:ptCount val="13"/>
                <c:pt idx="0">
                  <c:v>1.5225585379782982</c:v>
                </c:pt>
                <c:pt idx="1">
                  <c:v>1.2579894973743435</c:v>
                </c:pt>
                <c:pt idx="2">
                  <c:v>0.96976563897668322</c:v>
                </c:pt>
                <c:pt idx="3">
                  <c:v>1.1672610994957571</c:v>
                </c:pt>
                <c:pt idx="4">
                  <c:v>0.85423032346433458</c:v>
                </c:pt>
                <c:pt idx="5">
                  <c:v>1.0527289546716003</c:v>
                </c:pt>
                <c:pt idx="6">
                  <c:v>1.2142940831868776</c:v>
                </c:pt>
                <c:pt idx="7">
                  <c:v>1.2040717869548436</c:v>
                </c:pt>
                <c:pt idx="8">
                  <c:v>0.99515185511659587</c:v>
                </c:pt>
                <c:pt idx="9">
                  <c:v>1.1939042557474735</c:v>
                </c:pt>
                <c:pt idx="10">
                  <c:v>1.2128621050146697</c:v>
                </c:pt>
                <c:pt idx="11">
                  <c:v>1.1483386625886278</c:v>
                </c:pt>
                <c:pt idx="12">
                  <c:v>1.0435835351089588</c:v>
                </c:pt>
              </c:numCache>
            </c:numRef>
          </c:val>
          <c:extLst>
            <c:ext xmlns:c16="http://schemas.microsoft.com/office/drawing/2014/chart" uri="{C3380CC4-5D6E-409C-BE32-E72D297353CC}">
              <c16:uniqueId val="{00000001-D15C-48E6-A63F-9B58D9FF1E0D}"/>
            </c:ext>
          </c:extLst>
        </c:ser>
        <c:ser>
          <c:idx val="2"/>
          <c:order val="2"/>
          <c:tx>
            <c:strRef>
              <c:f>Лист1!$B$206</c:f>
              <c:strCache>
                <c:ptCount val="1"/>
                <c:pt idx="0">
                  <c:v>Ежегодные темпы прироста импорта продовольственных товаров и сельхозсырья</c:v>
                </c:pt>
              </c:strCache>
            </c:strRef>
          </c:tx>
          <c:spPr>
            <a:pattFill prst="ltDnDiag">
              <a:fgClr>
                <a:schemeClr val="tx1"/>
              </a:fgClr>
              <a:bgClr>
                <a:schemeClr val="bg1"/>
              </a:bgClr>
            </a:pattFill>
            <a:ln w="25400">
              <a:solidFill>
                <a:schemeClr val="tx1">
                  <a:lumMod val="75000"/>
                  <a:lumOff val="25000"/>
                </a:schemeClr>
              </a:solidFill>
            </a:ln>
          </c:spPr>
          <c:invertIfNegative val="0"/>
          <c:cat>
            <c:numRef>
              <c:f>Лист1!$C$203:$O$203</c:f>
              <c:numCache>
                <c:formatCode>General</c:formatCode>
                <c:ptCount val="13"/>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numCache>
            </c:numRef>
          </c:cat>
          <c:val>
            <c:numRef>
              <c:f>Лист1!$C$206:$O$206</c:f>
              <c:numCache>
                <c:formatCode>General</c:formatCode>
                <c:ptCount val="13"/>
                <c:pt idx="0">
                  <c:v>1.1686081652838067</c:v>
                </c:pt>
                <c:pt idx="1">
                  <c:v>0.95580110497237569</c:v>
                </c:pt>
                <c:pt idx="2">
                  <c:v>1.063952773336613</c:v>
                </c:pt>
                <c:pt idx="3">
                  <c:v>0.92375447925095366</c:v>
                </c:pt>
                <c:pt idx="4">
                  <c:v>0.66696698951372724</c:v>
                </c:pt>
                <c:pt idx="5">
                  <c:v>0.93924953095684804</c:v>
                </c:pt>
                <c:pt idx="6">
                  <c:v>1.1566457592585195</c:v>
                </c:pt>
                <c:pt idx="7">
                  <c:v>1.0291516993644654</c:v>
                </c:pt>
                <c:pt idx="8">
                  <c:v>1.0058061484763055</c:v>
                </c:pt>
                <c:pt idx="9">
                  <c:v>0.99325970169174815</c:v>
                </c:pt>
                <c:pt idx="10">
                  <c:v>1.1436154130412872</c:v>
                </c:pt>
                <c:pt idx="11">
                  <c:v>1.0516420891839493</c:v>
                </c:pt>
                <c:pt idx="12">
                  <c:v>0.98044692737430172</c:v>
                </c:pt>
              </c:numCache>
            </c:numRef>
          </c:val>
          <c:extLst>
            <c:ext xmlns:c16="http://schemas.microsoft.com/office/drawing/2014/chart" uri="{C3380CC4-5D6E-409C-BE32-E72D297353CC}">
              <c16:uniqueId val="{00000002-D15C-48E6-A63F-9B58D9FF1E0D}"/>
            </c:ext>
          </c:extLst>
        </c:ser>
        <c:dLbls>
          <c:showLegendKey val="0"/>
          <c:showVal val="0"/>
          <c:showCatName val="0"/>
          <c:showSerName val="0"/>
          <c:showPercent val="0"/>
          <c:showBubbleSize val="0"/>
        </c:dLbls>
        <c:gapWidth val="150"/>
        <c:axId val="276450304"/>
        <c:axId val="278995712"/>
      </c:barChart>
      <c:catAx>
        <c:axId val="276450304"/>
        <c:scaling>
          <c:orientation val="minMax"/>
        </c:scaling>
        <c:delete val="0"/>
        <c:axPos val="b"/>
        <c:numFmt formatCode="General" sourceLinked="1"/>
        <c:majorTickMark val="out"/>
        <c:minorTickMark val="none"/>
        <c:tickLblPos val="nextTo"/>
        <c:crossAx val="278995712"/>
        <c:crosses val="autoZero"/>
        <c:auto val="1"/>
        <c:lblAlgn val="ctr"/>
        <c:lblOffset val="100"/>
        <c:noMultiLvlLbl val="0"/>
      </c:catAx>
      <c:valAx>
        <c:axId val="278995712"/>
        <c:scaling>
          <c:orientation val="minMax"/>
        </c:scaling>
        <c:delete val="0"/>
        <c:axPos val="l"/>
        <c:majorGridlines/>
        <c:numFmt formatCode="General" sourceLinked="1"/>
        <c:majorTickMark val="out"/>
        <c:minorTickMark val="none"/>
        <c:tickLblPos val="nextTo"/>
        <c:crossAx val="276450304"/>
        <c:crosses val="autoZero"/>
        <c:crossBetween val="between"/>
      </c:valAx>
    </c:plotArea>
    <c:legend>
      <c:legendPos val="b"/>
      <c:layout>
        <c:manualLayout>
          <c:xMode val="edge"/>
          <c:yMode val="edge"/>
          <c:x val="2.5005010737294196E-2"/>
          <c:y val="0.65851610933303428"/>
          <c:w val="0.95605058458601766"/>
          <c:h val="0.33377301180291946"/>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336198010418687"/>
          <c:y val="3.5713770097259123E-2"/>
          <c:w val="0.75515953496518884"/>
          <c:h val="0.63254771573264468"/>
        </c:manualLayout>
      </c:layout>
      <c:barChart>
        <c:barDir val="col"/>
        <c:grouping val="clustered"/>
        <c:varyColors val="0"/>
        <c:ser>
          <c:idx val="0"/>
          <c:order val="0"/>
          <c:tx>
            <c:strRef>
              <c:f>Лист1!$B$123</c:f>
              <c:strCache>
                <c:ptCount val="1"/>
                <c:pt idx="0">
                  <c:v>Объем отгруженных товаров при производстве пищевых продуктов, напитков и табака, млрд.руб.</c:v>
                </c:pt>
              </c:strCache>
            </c:strRef>
          </c:tx>
          <c:spPr>
            <a:solidFill>
              <a:schemeClr val="bg2">
                <a:lumMod val="75000"/>
              </a:schemeClr>
            </a:solidFill>
            <a:ln>
              <a:noFill/>
            </a:ln>
          </c:spPr>
          <c:invertIfNegative val="0"/>
          <c:trendline>
            <c:spPr>
              <a:ln w="22225">
                <a:solidFill>
                  <a:schemeClr val="tx1"/>
                </a:solidFill>
                <a:prstDash val="dash"/>
              </a:ln>
            </c:spPr>
            <c:trendlineType val="exp"/>
            <c:forward val="2"/>
            <c:dispRSqr val="1"/>
            <c:dispEq val="1"/>
            <c:trendlineLbl>
              <c:layout>
                <c:manualLayout>
                  <c:x val="1.8360796664127901E-2"/>
                  <c:y val="-2.8572144531006975E-2"/>
                </c:manualLayout>
              </c:layout>
              <c:numFmt formatCode="General" sourceLinked="0"/>
            </c:trendlineLbl>
          </c:trendline>
          <c:cat>
            <c:numRef>
              <c:f>Лист1!$C$122:$P$122</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Лист1!$C$123:$P$123</c:f>
              <c:numCache>
                <c:formatCode>General</c:formatCode>
                <c:ptCount val="14"/>
                <c:pt idx="0">
                  <c:v>3262</c:v>
                </c:pt>
                <c:pt idx="1">
                  <c:v>3602</c:v>
                </c:pt>
                <c:pt idx="2">
                  <c:v>4001</c:v>
                </c:pt>
                <c:pt idx="3">
                  <c:v>4272</c:v>
                </c:pt>
                <c:pt idx="4">
                  <c:v>4840</c:v>
                </c:pt>
                <c:pt idx="5">
                  <c:v>6076</c:v>
                </c:pt>
                <c:pt idx="6">
                  <c:v>6472</c:v>
                </c:pt>
                <c:pt idx="7">
                  <c:v>6352</c:v>
                </c:pt>
                <c:pt idx="8">
                  <c:v>6797</c:v>
                </c:pt>
                <c:pt idx="9">
                  <c:v>7444</c:v>
                </c:pt>
                <c:pt idx="10">
                  <c:v>8427</c:v>
                </c:pt>
                <c:pt idx="11">
                  <c:v>9784</c:v>
                </c:pt>
                <c:pt idx="12">
                  <c:v>11288.6</c:v>
                </c:pt>
                <c:pt idx="13">
                  <c:v>11966.723</c:v>
                </c:pt>
              </c:numCache>
            </c:numRef>
          </c:val>
          <c:extLst>
            <c:ext xmlns:c16="http://schemas.microsoft.com/office/drawing/2014/chart" uri="{C3380CC4-5D6E-409C-BE32-E72D297353CC}">
              <c16:uniqueId val="{00000000-C196-4B6E-AA21-ED694DB46947}"/>
            </c:ext>
          </c:extLst>
        </c:ser>
        <c:ser>
          <c:idx val="3"/>
          <c:order val="3"/>
          <c:tx>
            <c:strRef>
              <c:f>Лист1!$B$126</c:f>
              <c:strCache>
                <c:ptCount val="1"/>
                <c:pt idx="0">
                  <c:v>Объем отгруженных товаров при производстве пищевых продуктов, напитков и табака, млрд.руб.</c:v>
                </c:pt>
              </c:strCache>
            </c:strRef>
          </c:tx>
          <c:spPr>
            <a:solidFill>
              <a:schemeClr val="bg2">
                <a:lumMod val="75000"/>
              </a:schemeClr>
            </a:solidFill>
            <a:ln>
              <a:noFill/>
            </a:ln>
          </c:spPr>
          <c:invertIfNegative val="0"/>
          <c:trendline>
            <c:spPr>
              <a:ln w="15875">
                <a:solidFill>
                  <a:schemeClr val="tx1"/>
                </a:solidFill>
                <a:prstDash val="dash"/>
                <a:bevel/>
              </a:ln>
            </c:spPr>
            <c:trendlineType val="linear"/>
            <c:forward val="2"/>
            <c:dispRSqr val="1"/>
            <c:dispEq val="1"/>
            <c:trendlineLbl>
              <c:layout>
                <c:manualLayout>
                  <c:x val="3.2471841611422976E-2"/>
                  <c:y val="0.10174010272291772"/>
                </c:manualLayout>
              </c:layout>
              <c:numFmt formatCode="General" sourceLinked="0"/>
            </c:trendlineLbl>
          </c:trendline>
          <c:cat>
            <c:numRef>
              <c:f>Лист1!$C$122:$P$122</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Лист1!$C$126:$P$126</c:f>
              <c:numCache>
                <c:formatCode>General</c:formatCode>
                <c:ptCount val="14"/>
                <c:pt idx="0">
                  <c:v>3262</c:v>
                </c:pt>
                <c:pt idx="1">
                  <c:v>3602</c:v>
                </c:pt>
                <c:pt idx="2">
                  <c:v>4001</c:v>
                </c:pt>
                <c:pt idx="3">
                  <c:v>4272</c:v>
                </c:pt>
                <c:pt idx="4">
                  <c:v>4840</c:v>
                </c:pt>
                <c:pt idx="5">
                  <c:v>6076</c:v>
                </c:pt>
                <c:pt idx="6">
                  <c:v>6472</c:v>
                </c:pt>
                <c:pt idx="7">
                  <c:v>6352</c:v>
                </c:pt>
                <c:pt idx="8">
                  <c:v>6797</c:v>
                </c:pt>
                <c:pt idx="9">
                  <c:v>7444</c:v>
                </c:pt>
                <c:pt idx="10">
                  <c:v>8427</c:v>
                </c:pt>
                <c:pt idx="11">
                  <c:v>9784</c:v>
                </c:pt>
                <c:pt idx="12">
                  <c:v>11288.6</c:v>
                </c:pt>
                <c:pt idx="13">
                  <c:v>11966.723</c:v>
                </c:pt>
              </c:numCache>
            </c:numRef>
          </c:val>
          <c:extLst>
            <c:ext xmlns:c16="http://schemas.microsoft.com/office/drawing/2014/chart" uri="{C3380CC4-5D6E-409C-BE32-E72D297353CC}">
              <c16:uniqueId val="{00000003-C196-4B6E-AA21-ED694DB46947}"/>
            </c:ext>
          </c:extLst>
        </c:ser>
        <c:dLbls>
          <c:showLegendKey val="0"/>
          <c:showVal val="0"/>
          <c:showCatName val="0"/>
          <c:showSerName val="0"/>
          <c:showPercent val="0"/>
          <c:showBubbleSize val="0"/>
        </c:dLbls>
        <c:gapWidth val="150"/>
        <c:axId val="156289280"/>
        <c:axId val="156291456"/>
      </c:barChart>
      <c:lineChart>
        <c:grouping val="standard"/>
        <c:varyColors val="0"/>
        <c:ser>
          <c:idx val="1"/>
          <c:order val="1"/>
          <c:tx>
            <c:strRef>
              <c:f>Лист1!$B$124</c:f>
              <c:strCache>
                <c:ptCount val="1"/>
                <c:pt idx="0">
                  <c:v>Оборот организаций, производящих пищевую продукцию, напитки и табак, млрд.руб.</c:v>
                </c:pt>
              </c:strCache>
            </c:strRef>
          </c:tx>
          <c:spPr>
            <a:ln w="25400">
              <a:solidFill>
                <a:schemeClr val="tx1"/>
              </a:solidFill>
            </a:ln>
          </c:spPr>
          <c:marker>
            <c:symbol val="triangle"/>
            <c:size val="6"/>
            <c:spPr>
              <a:solidFill>
                <a:schemeClr val="tx1"/>
              </a:solidFill>
              <a:ln>
                <a:solidFill>
                  <a:schemeClr val="tx1"/>
                </a:solidFill>
              </a:ln>
            </c:spPr>
          </c:marker>
          <c:cat>
            <c:numRef>
              <c:f>Лист1!$C$122:$P$122</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Лист1!$C$124:$P$124</c:f>
              <c:numCache>
                <c:formatCode>General</c:formatCode>
                <c:ptCount val="14"/>
                <c:pt idx="0">
                  <c:v>3094</c:v>
                </c:pt>
                <c:pt idx="1">
                  <c:v>3578.7</c:v>
                </c:pt>
                <c:pt idx="2">
                  <c:v>3990.8</c:v>
                </c:pt>
                <c:pt idx="3">
                  <c:v>4216.7</c:v>
                </c:pt>
                <c:pt idx="4">
                  <c:v>4675.6000000000004</c:v>
                </c:pt>
                <c:pt idx="5">
                  <c:v>5526.3</c:v>
                </c:pt>
                <c:pt idx="6">
                  <c:v>6000.4</c:v>
                </c:pt>
                <c:pt idx="7">
                  <c:v>5915.2</c:v>
                </c:pt>
                <c:pt idx="8">
                  <c:v>6413.0000000000009</c:v>
                </c:pt>
                <c:pt idx="9">
                  <c:v>6860.7</c:v>
                </c:pt>
                <c:pt idx="10">
                  <c:v>7483.9000000000005</c:v>
                </c:pt>
                <c:pt idx="11">
                  <c:v>8987.1</c:v>
                </c:pt>
                <c:pt idx="12">
                  <c:v>10641.4</c:v>
                </c:pt>
              </c:numCache>
            </c:numRef>
          </c:val>
          <c:smooth val="0"/>
          <c:extLst>
            <c:ext xmlns:c16="http://schemas.microsoft.com/office/drawing/2014/chart" uri="{C3380CC4-5D6E-409C-BE32-E72D297353CC}">
              <c16:uniqueId val="{00000001-C196-4B6E-AA21-ED694DB46947}"/>
            </c:ext>
          </c:extLst>
        </c:ser>
        <c:dLbls>
          <c:showLegendKey val="0"/>
          <c:showVal val="0"/>
          <c:showCatName val="0"/>
          <c:showSerName val="0"/>
          <c:showPercent val="0"/>
          <c:showBubbleSize val="0"/>
        </c:dLbls>
        <c:marker val="1"/>
        <c:smooth val="0"/>
        <c:axId val="156289280"/>
        <c:axId val="156291456"/>
      </c:lineChart>
      <c:lineChart>
        <c:grouping val="standard"/>
        <c:varyColors val="0"/>
        <c:ser>
          <c:idx val="2"/>
          <c:order val="2"/>
          <c:tx>
            <c:strRef>
              <c:f>Лист1!$B$125</c:f>
              <c:strCache>
                <c:ptCount val="1"/>
                <c:pt idx="0">
                  <c:v>Сальдированный финансовый результат организаций по производству пищевых продуктов, напитков и табака, млн.руб.</c:v>
                </c:pt>
              </c:strCache>
            </c:strRef>
          </c:tx>
          <c:spPr>
            <a:ln w="25400">
              <a:solidFill>
                <a:schemeClr val="tx1"/>
              </a:solidFill>
            </a:ln>
          </c:spPr>
          <c:marker>
            <c:symbol val="circle"/>
            <c:size val="6"/>
            <c:spPr>
              <a:solidFill>
                <a:schemeClr val="tx1"/>
              </a:solidFill>
              <a:ln w="25400" cap="rnd">
                <a:solidFill>
                  <a:schemeClr val="tx1"/>
                </a:solidFill>
              </a:ln>
            </c:spPr>
          </c:marker>
          <c:cat>
            <c:numRef>
              <c:f>Лист1!$C$122:$P$122</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Лист1!$C$125:$P$125</c:f>
              <c:numCache>
                <c:formatCode>General</c:formatCode>
                <c:ptCount val="14"/>
                <c:pt idx="0">
                  <c:v>162649</c:v>
                </c:pt>
                <c:pt idx="1">
                  <c:v>114126</c:v>
                </c:pt>
                <c:pt idx="2">
                  <c:v>189170</c:v>
                </c:pt>
                <c:pt idx="3">
                  <c:v>184830</c:v>
                </c:pt>
                <c:pt idx="4">
                  <c:v>109215</c:v>
                </c:pt>
                <c:pt idx="5">
                  <c:v>228549</c:v>
                </c:pt>
                <c:pt idx="6">
                  <c:v>351707</c:v>
                </c:pt>
                <c:pt idx="7">
                  <c:v>289514</c:v>
                </c:pt>
                <c:pt idx="8">
                  <c:v>296095</c:v>
                </c:pt>
                <c:pt idx="9">
                  <c:v>326939</c:v>
                </c:pt>
                <c:pt idx="10">
                  <c:v>417138</c:v>
                </c:pt>
                <c:pt idx="11">
                  <c:v>494070</c:v>
                </c:pt>
                <c:pt idx="12">
                  <c:v>809907</c:v>
                </c:pt>
              </c:numCache>
            </c:numRef>
          </c:val>
          <c:smooth val="0"/>
          <c:extLst>
            <c:ext xmlns:c16="http://schemas.microsoft.com/office/drawing/2014/chart" uri="{C3380CC4-5D6E-409C-BE32-E72D297353CC}">
              <c16:uniqueId val="{00000002-C196-4B6E-AA21-ED694DB46947}"/>
            </c:ext>
          </c:extLst>
        </c:ser>
        <c:dLbls>
          <c:showLegendKey val="0"/>
          <c:showVal val="0"/>
          <c:showCatName val="0"/>
          <c:showSerName val="0"/>
          <c:showPercent val="0"/>
          <c:showBubbleSize val="0"/>
        </c:dLbls>
        <c:marker val="1"/>
        <c:smooth val="0"/>
        <c:axId val="156294528"/>
        <c:axId val="156292992"/>
      </c:lineChart>
      <c:catAx>
        <c:axId val="156289280"/>
        <c:scaling>
          <c:orientation val="minMax"/>
        </c:scaling>
        <c:delete val="0"/>
        <c:axPos val="b"/>
        <c:numFmt formatCode="General" sourceLinked="1"/>
        <c:majorTickMark val="out"/>
        <c:minorTickMark val="none"/>
        <c:tickLblPos val="nextTo"/>
        <c:txPr>
          <a:bodyPr/>
          <a:lstStyle/>
          <a:p>
            <a:pPr>
              <a:defRPr sz="900"/>
            </a:pPr>
            <a:endParaRPr lang="ru-RU"/>
          </a:p>
        </c:txPr>
        <c:crossAx val="156291456"/>
        <c:crosses val="autoZero"/>
        <c:auto val="1"/>
        <c:lblAlgn val="ctr"/>
        <c:lblOffset val="100"/>
        <c:noMultiLvlLbl val="0"/>
      </c:catAx>
      <c:valAx>
        <c:axId val="156291456"/>
        <c:scaling>
          <c:orientation val="minMax"/>
        </c:scaling>
        <c:delete val="0"/>
        <c:axPos val="l"/>
        <c:majorGridlines/>
        <c:numFmt formatCode="General" sourceLinked="1"/>
        <c:majorTickMark val="out"/>
        <c:minorTickMark val="none"/>
        <c:tickLblPos val="nextTo"/>
        <c:txPr>
          <a:bodyPr/>
          <a:lstStyle/>
          <a:p>
            <a:pPr>
              <a:defRPr sz="800"/>
            </a:pPr>
            <a:endParaRPr lang="ru-RU"/>
          </a:p>
        </c:txPr>
        <c:crossAx val="156289280"/>
        <c:crosses val="autoZero"/>
        <c:crossBetween val="between"/>
      </c:valAx>
      <c:valAx>
        <c:axId val="156292992"/>
        <c:scaling>
          <c:orientation val="minMax"/>
        </c:scaling>
        <c:delete val="0"/>
        <c:axPos val="r"/>
        <c:numFmt formatCode="General" sourceLinked="1"/>
        <c:majorTickMark val="out"/>
        <c:minorTickMark val="none"/>
        <c:tickLblPos val="nextTo"/>
        <c:txPr>
          <a:bodyPr/>
          <a:lstStyle/>
          <a:p>
            <a:pPr>
              <a:defRPr sz="800"/>
            </a:pPr>
            <a:endParaRPr lang="ru-RU"/>
          </a:p>
        </c:txPr>
        <c:crossAx val="156294528"/>
        <c:crosses val="max"/>
        <c:crossBetween val="between"/>
      </c:valAx>
      <c:catAx>
        <c:axId val="156294528"/>
        <c:scaling>
          <c:orientation val="minMax"/>
        </c:scaling>
        <c:delete val="1"/>
        <c:axPos val="b"/>
        <c:numFmt formatCode="General" sourceLinked="1"/>
        <c:majorTickMark val="out"/>
        <c:minorTickMark val="none"/>
        <c:tickLblPos val="nextTo"/>
        <c:crossAx val="156292992"/>
        <c:crosses val="autoZero"/>
        <c:auto val="1"/>
        <c:lblAlgn val="ctr"/>
        <c:lblOffset val="100"/>
        <c:noMultiLvlLbl val="0"/>
      </c:catAx>
    </c:plotArea>
    <c:legend>
      <c:legendPos val="b"/>
      <c:legendEntry>
        <c:idx val="1"/>
        <c:delete val="1"/>
      </c:legendEntry>
      <c:layout>
        <c:manualLayout>
          <c:xMode val="edge"/>
          <c:yMode val="edge"/>
          <c:x val="0"/>
          <c:y val="0.72363756777458532"/>
          <c:w val="0.99298560651489431"/>
          <c:h val="0.2599615999571846"/>
        </c:manualLayout>
      </c:layout>
      <c:overlay val="0"/>
      <c:txPr>
        <a:bodyPr/>
        <a:lstStyle/>
        <a:p>
          <a:pPr>
            <a:defRPr sz="800"/>
          </a:pPr>
          <a:endParaRPr lang="ru-RU"/>
        </a:p>
      </c:txPr>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1.63395E-7</cdr:x>
      <cdr:y>0.07392</cdr:y>
    </cdr:from>
    <cdr:to>
      <cdr:x>0.04547</cdr:x>
      <cdr:y>0.27661</cdr:y>
    </cdr:to>
    <cdr:sp macro="" textlink="">
      <cdr:nvSpPr>
        <cdr:cNvPr id="2" name="TextBox 1"/>
        <cdr:cNvSpPr txBox="1"/>
      </cdr:nvSpPr>
      <cdr:spPr>
        <a:xfrm xmlns:a="http://schemas.openxmlformats.org/drawingml/2006/main" rot="16200000">
          <a:off x="-315321" y="646788"/>
          <a:ext cx="908942" cy="27829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900"/>
            <a:t>млрд.руб</a:t>
          </a:r>
          <a:r>
            <a:rPr lang="ru-RU" sz="1100"/>
            <a:t>.</a:t>
          </a:r>
        </a:p>
      </cdr:txBody>
    </cdr:sp>
  </cdr:relSizeAnchor>
  <cdr:relSizeAnchor xmlns:cdr="http://schemas.openxmlformats.org/drawingml/2006/chartDrawing">
    <cdr:from>
      <cdr:x>0.93669</cdr:x>
      <cdr:y>0.03739</cdr:y>
    </cdr:from>
    <cdr:to>
      <cdr:x>0.97655</cdr:x>
      <cdr:y>0.24005</cdr:y>
    </cdr:to>
    <cdr:sp macro="" textlink="">
      <cdr:nvSpPr>
        <cdr:cNvPr id="3" name="TextBox 2"/>
        <cdr:cNvSpPr txBox="1"/>
      </cdr:nvSpPr>
      <cdr:spPr>
        <a:xfrm xmlns:a="http://schemas.openxmlformats.org/drawingml/2006/main" rot="16200000">
          <a:off x="7372351" y="385764"/>
          <a:ext cx="800101" cy="3238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900"/>
            <a:t>млн.руб</a:t>
          </a:r>
          <a:r>
            <a:rPr lang="ru-RU" sz="1100"/>
            <a:t>.</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DADCD7-1BE0-4D2A-B82A-862ACA952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1</Pages>
  <Words>1795</Words>
  <Characters>10235</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Елена</cp:lastModifiedBy>
  <cp:revision>98</cp:revision>
  <dcterms:created xsi:type="dcterms:W3CDTF">2025-04-27T14:21:00Z</dcterms:created>
  <dcterms:modified xsi:type="dcterms:W3CDTF">2025-04-29T09:11:00Z</dcterms:modified>
</cp:coreProperties>
</file>