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9D184" w14:textId="2F741264" w:rsidR="006F7FCA" w:rsidRDefault="000600C7">
      <w:pPr>
        <w:pStyle w:val="2"/>
      </w:pPr>
      <w:r>
        <w:t>УДК 3</w:t>
      </w:r>
      <w:r w:rsidR="00757393">
        <w:t>31.5</w:t>
      </w:r>
      <w:r>
        <w:t xml:space="preserve"> / ББК 65.</w:t>
      </w:r>
      <w:r w:rsidR="00757393">
        <w:t>240</w:t>
      </w:r>
    </w:p>
    <w:p w14:paraId="3087880D" w14:textId="22B6205B" w:rsidR="006F7FCA" w:rsidRDefault="00757393">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Секушина</w:t>
      </w:r>
      <w:r w:rsidR="000600C7">
        <w:rPr>
          <w:rFonts w:ascii="Times New Roman" w:hAnsi="Times New Roman" w:cs="Times New Roman"/>
          <w:b/>
          <w:sz w:val="24"/>
          <w:szCs w:val="24"/>
        </w:rPr>
        <w:t xml:space="preserve"> И.</w:t>
      </w:r>
      <w:r>
        <w:rPr>
          <w:rFonts w:ascii="Times New Roman" w:hAnsi="Times New Roman" w:cs="Times New Roman"/>
          <w:b/>
          <w:sz w:val="24"/>
          <w:szCs w:val="24"/>
        </w:rPr>
        <w:t>А</w:t>
      </w:r>
      <w:r w:rsidR="000600C7">
        <w:rPr>
          <w:rFonts w:ascii="Times New Roman" w:hAnsi="Times New Roman" w:cs="Times New Roman"/>
          <w:b/>
          <w:sz w:val="24"/>
          <w:szCs w:val="24"/>
        </w:rPr>
        <w:t>.</w:t>
      </w:r>
    </w:p>
    <w:p w14:paraId="64C90267" w14:textId="77777777" w:rsidR="00A34299" w:rsidRDefault="00A34299" w:rsidP="00A34299">
      <w:pPr>
        <w:spacing w:after="0" w:line="240" w:lineRule="auto"/>
        <w:jc w:val="center"/>
        <w:rPr>
          <w:rFonts w:ascii="Times New Roman" w:hAnsi="Times New Roman" w:cs="Times New Roman"/>
          <w:b/>
          <w:bCs/>
          <w:sz w:val="24"/>
          <w:szCs w:val="24"/>
        </w:rPr>
      </w:pPr>
      <w:bookmarkStart w:id="0" w:name="_Hlk129337751"/>
    </w:p>
    <w:p w14:paraId="40634F1A" w14:textId="4AC44BB7" w:rsidR="006F7FCA" w:rsidRDefault="00A34299" w:rsidP="00A3429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РЫН</w:t>
      </w:r>
      <w:r w:rsidR="00757393">
        <w:rPr>
          <w:rFonts w:ascii="Times New Roman" w:hAnsi="Times New Roman" w:cs="Times New Roman"/>
          <w:b/>
          <w:bCs/>
          <w:sz w:val="24"/>
          <w:szCs w:val="24"/>
        </w:rPr>
        <w:t>ОК</w:t>
      </w:r>
      <w:r>
        <w:rPr>
          <w:rFonts w:ascii="Times New Roman" w:hAnsi="Times New Roman" w:cs="Times New Roman"/>
          <w:b/>
          <w:bCs/>
          <w:sz w:val="24"/>
          <w:szCs w:val="24"/>
        </w:rPr>
        <w:t xml:space="preserve"> ТРУДА ГОРОДСКИХ АГЛОМЕРАЦИЙ</w:t>
      </w:r>
      <w:r w:rsidR="00757393">
        <w:rPr>
          <w:rFonts w:ascii="Times New Roman" w:hAnsi="Times New Roman" w:cs="Times New Roman"/>
          <w:b/>
          <w:bCs/>
          <w:sz w:val="24"/>
          <w:szCs w:val="24"/>
        </w:rPr>
        <w:t>:</w:t>
      </w:r>
      <w:r w:rsidR="00757393" w:rsidRPr="00757393">
        <w:rPr>
          <w:rFonts w:ascii="Times New Roman" w:hAnsi="Times New Roman" w:cs="Times New Roman"/>
          <w:b/>
          <w:bCs/>
          <w:sz w:val="24"/>
          <w:szCs w:val="24"/>
        </w:rPr>
        <w:t xml:space="preserve"> </w:t>
      </w:r>
      <w:r w:rsidR="00757393">
        <w:rPr>
          <w:rFonts w:ascii="Times New Roman" w:hAnsi="Times New Roman" w:cs="Times New Roman"/>
          <w:b/>
          <w:bCs/>
          <w:sz w:val="24"/>
          <w:szCs w:val="24"/>
        </w:rPr>
        <w:t>ОЦЕНКА СБАЛАНСИРОВАННОСТИ И НАПРАВЛЕНИЯ РЕГУЛИРОВАНИЯ</w:t>
      </w:r>
      <w:r w:rsidR="00724549">
        <w:rPr>
          <w:rStyle w:val="afd"/>
          <w:rFonts w:ascii="Times New Roman" w:hAnsi="Times New Roman" w:cs="Times New Roman"/>
          <w:b/>
          <w:bCs/>
          <w:sz w:val="24"/>
          <w:szCs w:val="24"/>
        </w:rPr>
        <w:footnoteReference w:id="1"/>
      </w:r>
    </w:p>
    <w:p w14:paraId="423B4400" w14:textId="77777777" w:rsidR="00A34299" w:rsidRDefault="00A34299" w:rsidP="00A34299">
      <w:pPr>
        <w:spacing w:after="0" w:line="240" w:lineRule="auto"/>
        <w:jc w:val="center"/>
        <w:rPr>
          <w:rFonts w:ascii="Times New Roman" w:hAnsi="Times New Roman" w:cs="Times New Roman"/>
          <w:b/>
          <w:bCs/>
          <w:iCs/>
          <w:sz w:val="24"/>
          <w:szCs w:val="24"/>
        </w:rPr>
      </w:pPr>
    </w:p>
    <w:p w14:paraId="3CDE6B51" w14:textId="22397304" w:rsidR="006F7FCA" w:rsidRDefault="000600C7">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Pr="00724549">
        <w:rPr>
          <w:rFonts w:ascii="Times New Roman" w:hAnsi="Times New Roman" w:cs="Times New Roman"/>
          <w:bCs/>
          <w:sz w:val="24"/>
          <w:szCs w:val="24"/>
        </w:rPr>
        <w:t>В настоящем исследовании</w:t>
      </w:r>
      <w:r w:rsidRPr="00724549">
        <w:rPr>
          <w:rFonts w:ascii="Times New Roman" w:hAnsi="Times New Roman" w:cs="Times New Roman"/>
          <w:sz w:val="24"/>
          <w:szCs w:val="24"/>
        </w:rPr>
        <w:t xml:space="preserve"> представлены </w:t>
      </w:r>
      <w:r w:rsidR="00724549" w:rsidRPr="00724549">
        <w:rPr>
          <w:rFonts w:ascii="Times New Roman" w:hAnsi="Times New Roman" w:cs="Times New Roman"/>
          <w:sz w:val="24"/>
          <w:szCs w:val="24"/>
        </w:rPr>
        <w:t>результаты оценки сбалансированности рынка труда городских агломераций второго эшелона</w:t>
      </w:r>
      <w:r w:rsidR="00563269">
        <w:rPr>
          <w:rFonts w:ascii="Times New Roman" w:hAnsi="Times New Roman" w:cs="Times New Roman"/>
          <w:sz w:val="24"/>
          <w:szCs w:val="24"/>
        </w:rPr>
        <w:t xml:space="preserve">: </w:t>
      </w:r>
      <w:r w:rsidR="00563269" w:rsidRPr="00563269">
        <w:rPr>
          <w:rFonts w:ascii="Times New Roman" w:hAnsi="Times New Roman" w:cs="Times New Roman"/>
          <w:sz w:val="24"/>
          <w:szCs w:val="24"/>
        </w:rPr>
        <w:t>Вологодск</w:t>
      </w:r>
      <w:r w:rsidR="00563269">
        <w:rPr>
          <w:rFonts w:ascii="Times New Roman" w:hAnsi="Times New Roman" w:cs="Times New Roman"/>
          <w:sz w:val="24"/>
          <w:szCs w:val="24"/>
        </w:rPr>
        <w:t>ой</w:t>
      </w:r>
      <w:r w:rsidR="00563269" w:rsidRPr="00563269">
        <w:rPr>
          <w:rFonts w:ascii="Times New Roman" w:hAnsi="Times New Roman" w:cs="Times New Roman"/>
          <w:sz w:val="24"/>
          <w:szCs w:val="24"/>
        </w:rPr>
        <w:t>, Архангельск</w:t>
      </w:r>
      <w:r w:rsidR="00563269">
        <w:rPr>
          <w:rFonts w:ascii="Times New Roman" w:hAnsi="Times New Roman" w:cs="Times New Roman"/>
          <w:sz w:val="24"/>
          <w:szCs w:val="24"/>
        </w:rPr>
        <w:t>ой</w:t>
      </w:r>
      <w:r w:rsidR="00563269" w:rsidRPr="00563269">
        <w:rPr>
          <w:rFonts w:ascii="Times New Roman" w:hAnsi="Times New Roman" w:cs="Times New Roman"/>
          <w:sz w:val="24"/>
          <w:szCs w:val="24"/>
        </w:rPr>
        <w:t>, Тамбовск</w:t>
      </w:r>
      <w:r w:rsidR="00563269">
        <w:rPr>
          <w:rFonts w:ascii="Times New Roman" w:hAnsi="Times New Roman" w:cs="Times New Roman"/>
          <w:sz w:val="24"/>
          <w:szCs w:val="24"/>
        </w:rPr>
        <w:t>ой</w:t>
      </w:r>
      <w:r w:rsidR="00563269" w:rsidRPr="00563269">
        <w:rPr>
          <w:rFonts w:ascii="Times New Roman" w:hAnsi="Times New Roman" w:cs="Times New Roman"/>
          <w:sz w:val="24"/>
          <w:szCs w:val="24"/>
        </w:rPr>
        <w:t>, Калужск</w:t>
      </w:r>
      <w:r w:rsidR="00563269">
        <w:rPr>
          <w:rFonts w:ascii="Times New Roman" w:hAnsi="Times New Roman" w:cs="Times New Roman"/>
          <w:sz w:val="24"/>
          <w:szCs w:val="24"/>
        </w:rPr>
        <w:t>ой</w:t>
      </w:r>
      <w:r w:rsidR="00563269" w:rsidRPr="00563269">
        <w:rPr>
          <w:rFonts w:ascii="Times New Roman" w:hAnsi="Times New Roman" w:cs="Times New Roman"/>
          <w:sz w:val="24"/>
          <w:szCs w:val="24"/>
        </w:rPr>
        <w:t>, Норильск</w:t>
      </w:r>
      <w:r w:rsidR="00563269">
        <w:rPr>
          <w:rFonts w:ascii="Times New Roman" w:hAnsi="Times New Roman" w:cs="Times New Roman"/>
          <w:sz w:val="24"/>
          <w:szCs w:val="24"/>
        </w:rPr>
        <w:t>ой</w:t>
      </w:r>
      <w:r w:rsidR="00563269" w:rsidRPr="00563269">
        <w:rPr>
          <w:rFonts w:ascii="Times New Roman" w:hAnsi="Times New Roman" w:cs="Times New Roman"/>
          <w:sz w:val="24"/>
          <w:szCs w:val="24"/>
        </w:rPr>
        <w:t>, Сургутск</w:t>
      </w:r>
      <w:r w:rsidR="00563269">
        <w:rPr>
          <w:rFonts w:ascii="Times New Roman" w:hAnsi="Times New Roman" w:cs="Times New Roman"/>
          <w:sz w:val="24"/>
          <w:szCs w:val="24"/>
        </w:rPr>
        <w:t>ой</w:t>
      </w:r>
      <w:r w:rsidR="00563269" w:rsidRPr="00563269">
        <w:rPr>
          <w:rFonts w:ascii="Times New Roman" w:hAnsi="Times New Roman" w:cs="Times New Roman"/>
          <w:sz w:val="24"/>
          <w:szCs w:val="24"/>
        </w:rPr>
        <w:t>, Ханты-Мансийск</w:t>
      </w:r>
      <w:r w:rsidR="00563269">
        <w:rPr>
          <w:rFonts w:ascii="Times New Roman" w:hAnsi="Times New Roman" w:cs="Times New Roman"/>
          <w:sz w:val="24"/>
          <w:szCs w:val="24"/>
        </w:rPr>
        <w:t>ой</w:t>
      </w:r>
      <w:r w:rsidR="00563269" w:rsidRPr="00563269">
        <w:rPr>
          <w:rFonts w:ascii="Times New Roman" w:hAnsi="Times New Roman" w:cs="Times New Roman"/>
          <w:sz w:val="24"/>
          <w:szCs w:val="24"/>
        </w:rPr>
        <w:t>, Южно-Сахалинск</w:t>
      </w:r>
      <w:r w:rsidR="00563269">
        <w:rPr>
          <w:rFonts w:ascii="Times New Roman" w:hAnsi="Times New Roman" w:cs="Times New Roman"/>
          <w:sz w:val="24"/>
          <w:szCs w:val="24"/>
        </w:rPr>
        <w:t>ой</w:t>
      </w:r>
      <w:r w:rsidRPr="00724549">
        <w:rPr>
          <w:rFonts w:ascii="Times New Roman" w:hAnsi="Times New Roman" w:cs="Times New Roman"/>
          <w:sz w:val="24"/>
          <w:szCs w:val="24"/>
        </w:rPr>
        <w:t xml:space="preserve">. </w:t>
      </w:r>
      <w:r w:rsidR="00724549" w:rsidRPr="00724549">
        <w:rPr>
          <w:rFonts w:ascii="Times New Roman" w:hAnsi="Times New Roman" w:cs="Times New Roman"/>
          <w:sz w:val="24"/>
          <w:szCs w:val="24"/>
        </w:rPr>
        <w:t>Предложен ряд направлений регулирования рынка труда городских агломераций</w:t>
      </w:r>
      <w:r w:rsidRPr="00724549">
        <w:rPr>
          <w:rFonts w:ascii="Times New Roman" w:hAnsi="Times New Roman" w:cs="Times New Roman"/>
          <w:sz w:val="24"/>
          <w:szCs w:val="24"/>
        </w:rPr>
        <w:t>.</w:t>
      </w:r>
    </w:p>
    <w:p w14:paraId="3BC7D838" w14:textId="13DA51A9" w:rsidR="006F7FCA" w:rsidRDefault="000600C7">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850E51" w:rsidRPr="00850E51">
        <w:rPr>
          <w:rFonts w:ascii="Times New Roman" w:hAnsi="Times New Roman" w:cs="Times New Roman"/>
          <w:bCs/>
          <w:sz w:val="24"/>
          <w:szCs w:val="24"/>
        </w:rPr>
        <w:t>городская агломерация, рынок труда, спрос и предложение труда, агломерационные процессы,</w:t>
      </w:r>
      <w:r w:rsidR="00850E51">
        <w:rPr>
          <w:rFonts w:ascii="Times New Roman" w:hAnsi="Times New Roman" w:cs="Times New Roman"/>
          <w:bCs/>
          <w:sz w:val="24"/>
          <w:szCs w:val="24"/>
        </w:rPr>
        <w:t xml:space="preserve"> регулирование рынка труда</w:t>
      </w:r>
      <w:r>
        <w:rPr>
          <w:rFonts w:ascii="Times New Roman" w:hAnsi="Times New Roman" w:cs="Times New Roman"/>
          <w:bCs/>
          <w:sz w:val="24"/>
          <w:szCs w:val="24"/>
        </w:rPr>
        <w:t>.</w:t>
      </w:r>
    </w:p>
    <w:bookmarkEnd w:id="0"/>
    <w:p w14:paraId="0EEAB63B" w14:textId="77777777" w:rsidR="00EC7A3B" w:rsidRDefault="00EC7A3B">
      <w:pPr>
        <w:spacing w:after="0" w:line="240" w:lineRule="auto"/>
        <w:ind w:firstLine="709"/>
        <w:jc w:val="both"/>
        <w:rPr>
          <w:rFonts w:ascii="Times New Roman" w:hAnsi="Times New Roman" w:cs="Times New Roman"/>
          <w:sz w:val="24"/>
          <w:szCs w:val="24"/>
        </w:rPr>
      </w:pPr>
    </w:p>
    <w:p w14:paraId="071DB878" w14:textId="39BC6FCF" w:rsidR="00724549" w:rsidRPr="00724549" w:rsidRDefault="00724549" w:rsidP="00724549">
      <w:pPr>
        <w:spacing w:after="0" w:line="240" w:lineRule="auto"/>
        <w:ind w:firstLine="709"/>
        <w:jc w:val="both"/>
        <w:rPr>
          <w:rFonts w:ascii="Times New Roman" w:hAnsi="Times New Roman" w:cs="Times New Roman"/>
          <w:sz w:val="24"/>
          <w:szCs w:val="24"/>
        </w:rPr>
      </w:pPr>
      <w:r w:rsidRPr="00724549">
        <w:rPr>
          <w:rFonts w:ascii="Times New Roman" w:hAnsi="Times New Roman" w:cs="Times New Roman"/>
          <w:sz w:val="24"/>
          <w:szCs w:val="24"/>
        </w:rPr>
        <w:t>На сегодняшний день в России изучение проблематики развития рынков труда городских агломераций является одной из важнейших с практической точки зрения задач. Не случайно в российском законодательстве</w:t>
      </w:r>
      <w:r>
        <w:rPr>
          <w:rStyle w:val="afd"/>
          <w:rFonts w:ascii="Times New Roman" w:hAnsi="Times New Roman" w:cs="Times New Roman"/>
          <w:sz w:val="24"/>
          <w:szCs w:val="24"/>
        </w:rPr>
        <w:footnoteReference w:id="2"/>
      </w:r>
      <w:r w:rsidRPr="00724549">
        <w:rPr>
          <w:rFonts w:ascii="Times New Roman" w:hAnsi="Times New Roman" w:cs="Times New Roman"/>
          <w:sz w:val="24"/>
          <w:szCs w:val="24"/>
        </w:rPr>
        <w:t xml:space="preserve">  в перечне ключевых показателей, рекомендуемых для проведения анализа социально-экономического развития и прогнозирования развития городских агломераций</w:t>
      </w:r>
      <w:r w:rsidR="00A75C56">
        <w:rPr>
          <w:rFonts w:ascii="Times New Roman" w:hAnsi="Times New Roman" w:cs="Times New Roman"/>
          <w:sz w:val="24"/>
          <w:szCs w:val="24"/>
        </w:rPr>
        <w:t>,</w:t>
      </w:r>
      <w:r w:rsidRPr="00724549">
        <w:rPr>
          <w:rFonts w:ascii="Times New Roman" w:hAnsi="Times New Roman" w:cs="Times New Roman"/>
          <w:sz w:val="24"/>
          <w:szCs w:val="24"/>
        </w:rPr>
        <w:t xml:space="preserve"> два из четырех индикаторов отражают состояние рынка труда: среднесписочная численность работников организаций и среднемесячная заработная плата</w:t>
      </w:r>
      <w:r w:rsidR="00A75C56" w:rsidRPr="00A75C56">
        <w:rPr>
          <w:rFonts w:ascii="Times New Roman" w:hAnsi="Times New Roman" w:cs="Times New Roman"/>
          <w:sz w:val="24"/>
          <w:szCs w:val="24"/>
        </w:rPr>
        <w:t xml:space="preserve"> [</w:t>
      </w:r>
      <w:r w:rsidR="00E930E1" w:rsidRPr="00E930E1">
        <w:rPr>
          <w:rFonts w:ascii="Times New Roman" w:hAnsi="Times New Roman" w:cs="Times New Roman"/>
          <w:sz w:val="24"/>
          <w:szCs w:val="24"/>
        </w:rPr>
        <w:t>4</w:t>
      </w:r>
      <w:r w:rsidR="00A75C56" w:rsidRPr="00A75C56">
        <w:rPr>
          <w:rFonts w:ascii="Times New Roman" w:hAnsi="Times New Roman" w:cs="Times New Roman"/>
          <w:sz w:val="24"/>
          <w:szCs w:val="24"/>
        </w:rPr>
        <w:t>]</w:t>
      </w:r>
      <w:r w:rsidRPr="00724549">
        <w:rPr>
          <w:rFonts w:ascii="Times New Roman" w:hAnsi="Times New Roman" w:cs="Times New Roman"/>
          <w:sz w:val="24"/>
          <w:szCs w:val="24"/>
        </w:rPr>
        <w:t>.</w:t>
      </w:r>
    </w:p>
    <w:p w14:paraId="339179F5" w14:textId="5AD12287" w:rsidR="00724549" w:rsidRDefault="00724549" w:rsidP="00870D03">
      <w:pPr>
        <w:spacing w:after="0" w:line="240" w:lineRule="auto"/>
        <w:ind w:firstLine="709"/>
        <w:jc w:val="both"/>
        <w:rPr>
          <w:rFonts w:ascii="Times New Roman" w:hAnsi="Times New Roman" w:cs="Times New Roman"/>
          <w:bCs/>
          <w:sz w:val="24"/>
          <w:szCs w:val="24"/>
        </w:rPr>
      </w:pPr>
      <w:r w:rsidRPr="00724549">
        <w:rPr>
          <w:rFonts w:ascii="Times New Roman" w:hAnsi="Times New Roman" w:cs="Times New Roman"/>
          <w:sz w:val="24"/>
          <w:szCs w:val="24"/>
        </w:rPr>
        <w:t>В научной литературе представлен целый ряд работ, посвященных изучению данной тематики, в т.ч. анализу демографических процессов, влияющих на формирование единого рынка труда городских агломераций</w:t>
      </w:r>
      <w:r w:rsidR="00A75C56" w:rsidRPr="00A75C56">
        <w:rPr>
          <w:rFonts w:ascii="Times New Roman" w:hAnsi="Times New Roman" w:cs="Times New Roman"/>
          <w:sz w:val="24"/>
          <w:szCs w:val="24"/>
        </w:rPr>
        <w:t xml:space="preserve"> [</w:t>
      </w:r>
      <w:r w:rsidR="00E930E1" w:rsidRPr="00E930E1">
        <w:rPr>
          <w:rFonts w:ascii="Times New Roman" w:hAnsi="Times New Roman" w:cs="Times New Roman"/>
          <w:sz w:val="24"/>
          <w:szCs w:val="24"/>
        </w:rPr>
        <w:t>2,6,9</w:t>
      </w:r>
      <w:r w:rsidR="00A75C56" w:rsidRPr="00A75C56">
        <w:rPr>
          <w:rFonts w:ascii="Times New Roman" w:hAnsi="Times New Roman" w:cs="Times New Roman"/>
          <w:sz w:val="24"/>
          <w:szCs w:val="24"/>
        </w:rPr>
        <w:t>]</w:t>
      </w:r>
      <w:r w:rsidRPr="00724549">
        <w:rPr>
          <w:rFonts w:ascii="Times New Roman" w:hAnsi="Times New Roman" w:cs="Times New Roman"/>
          <w:sz w:val="24"/>
          <w:szCs w:val="24"/>
        </w:rPr>
        <w:t>; исследованию их внутренней структуры</w:t>
      </w:r>
      <w:r w:rsidR="00A75C56" w:rsidRPr="00A75C56">
        <w:rPr>
          <w:rFonts w:ascii="Times New Roman" w:hAnsi="Times New Roman" w:cs="Times New Roman"/>
          <w:sz w:val="24"/>
          <w:szCs w:val="24"/>
        </w:rPr>
        <w:t xml:space="preserve"> [</w:t>
      </w:r>
      <w:r w:rsidR="00E930E1" w:rsidRPr="00E930E1">
        <w:rPr>
          <w:rFonts w:ascii="Times New Roman" w:hAnsi="Times New Roman" w:cs="Times New Roman"/>
          <w:sz w:val="24"/>
          <w:szCs w:val="24"/>
        </w:rPr>
        <w:t>1</w:t>
      </w:r>
      <w:r w:rsidR="00A75C56" w:rsidRPr="00A75C56">
        <w:rPr>
          <w:rFonts w:ascii="Times New Roman" w:hAnsi="Times New Roman" w:cs="Times New Roman"/>
          <w:sz w:val="24"/>
          <w:szCs w:val="24"/>
        </w:rPr>
        <w:t>]</w:t>
      </w:r>
      <w:r w:rsidRPr="00724549">
        <w:rPr>
          <w:rFonts w:ascii="Times New Roman" w:hAnsi="Times New Roman" w:cs="Times New Roman"/>
          <w:sz w:val="24"/>
          <w:szCs w:val="24"/>
        </w:rPr>
        <w:t xml:space="preserve">; проблемам безработицы </w:t>
      </w:r>
      <w:r w:rsidR="00A75C56" w:rsidRPr="00A75C56">
        <w:rPr>
          <w:rFonts w:ascii="Times New Roman" w:hAnsi="Times New Roman" w:cs="Times New Roman"/>
          <w:sz w:val="24"/>
          <w:szCs w:val="24"/>
        </w:rPr>
        <w:t>[</w:t>
      </w:r>
      <w:r w:rsidR="00E930E1" w:rsidRPr="00E930E1">
        <w:rPr>
          <w:rFonts w:ascii="Times New Roman" w:hAnsi="Times New Roman" w:cs="Times New Roman"/>
          <w:sz w:val="24"/>
          <w:szCs w:val="24"/>
        </w:rPr>
        <w:t>8</w:t>
      </w:r>
      <w:r w:rsidR="00A75C56" w:rsidRPr="00A75C56">
        <w:rPr>
          <w:rFonts w:ascii="Times New Roman" w:hAnsi="Times New Roman" w:cs="Times New Roman"/>
          <w:sz w:val="24"/>
          <w:szCs w:val="24"/>
        </w:rPr>
        <w:t>]</w:t>
      </w:r>
      <w:r w:rsidRPr="00724549">
        <w:rPr>
          <w:rFonts w:ascii="Times New Roman" w:hAnsi="Times New Roman" w:cs="Times New Roman"/>
          <w:sz w:val="24"/>
          <w:szCs w:val="24"/>
        </w:rPr>
        <w:t>.</w:t>
      </w:r>
      <w:r w:rsidR="00A75C56" w:rsidRPr="00A75C56">
        <w:rPr>
          <w:rFonts w:ascii="Times New Roman" w:hAnsi="Times New Roman" w:cs="Times New Roman"/>
          <w:sz w:val="24"/>
          <w:szCs w:val="24"/>
        </w:rPr>
        <w:t xml:space="preserve"> </w:t>
      </w:r>
      <w:r w:rsidRPr="00724549">
        <w:rPr>
          <w:rFonts w:ascii="Times New Roman" w:hAnsi="Times New Roman" w:cs="Times New Roman"/>
          <w:bCs/>
          <w:sz w:val="24"/>
          <w:szCs w:val="24"/>
        </w:rPr>
        <w:t xml:space="preserve">В последние годы </w:t>
      </w:r>
      <w:r w:rsidR="00A75C56">
        <w:rPr>
          <w:rFonts w:ascii="Times New Roman" w:hAnsi="Times New Roman" w:cs="Times New Roman"/>
          <w:bCs/>
          <w:sz w:val="24"/>
          <w:szCs w:val="24"/>
        </w:rPr>
        <w:t xml:space="preserve">также </w:t>
      </w:r>
      <w:r w:rsidRPr="00724549">
        <w:rPr>
          <w:rFonts w:ascii="Times New Roman" w:hAnsi="Times New Roman" w:cs="Times New Roman"/>
          <w:bCs/>
          <w:sz w:val="24"/>
          <w:szCs w:val="24"/>
        </w:rPr>
        <w:t>появляется все больше работ, в которых рассматриваются агломерации «второго эшелона»</w:t>
      </w:r>
      <w:r w:rsidR="00A75C56">
        <w:rPr>
          <w:rFonts w:ascii="Times New Roman" w:hAnsi="Times New Roman" w:cs="Times New Roman"/>
          <w:bCs/>
          <w:sz w:val="24"/>
          <w:szCs w:val="24"/>
        </w:rPr>
        <w:t xml:space="preserve"> </w:t>
      </w:r>
      <w:r w:rsidR="00A75C56" w:rsidRPr="00A75C56">
        <w:rPr>
          <w:rFonts w:ascii="Times New Roman" w:hAnsi="Times New Roman" w:cs="Times New Roman"/>
          <w:bCs/>
          <w:sz w:val="24"/>
          <w:szCs w:val="24"/>
        </w:rPr>
        <w:t>[</w:t>
      </w:r>
      <w:r w:rsidR="00E930E1" w:rsidRPr="00E930E1">
        <w:rPr>
          <w:rFonts w:ascii="Times New Roman" w:hAnsi="Times New Roman" w:cs="Times New Roman"/>
          <w:bCs/>
          <w:sz w:val="24"/>
          <w:szCs w:val="24"/>
        </w:rPr>
        <w:t>3,</w:t>
      </w:r>
      <w:r w:rsidR="00A75C56" w:rsidRPr="00A75C56">
        <w:rPr>
          <w:rFonts w:ascii="Times New Roman" w:hAnsi="Times New Roman" w:cs="Times New Roman"/>
          <w:bCs/>
          <w:sz w:val="24"/>
          <w:szCs w:val="24"/>
        </w:rPr>
        <w:t>7]</w:t>
      </w:r>
      <w:r w:rsidRPr="00724549">
        <w:rPr>
          <w:rFonts w:ascii="Times New Roman" w:hAnsi="Times New Roman" w:cs="Times New Roman"/>
          <w:bCs/>
          <w:sz w:val="24"/>
          <w:szCs w:val="24"/>
        </w:rPr>
        <w:t>, однако проблематика развития рынка труда в них детально не рассматривается. Недостаточная исследованность особенностей развития рынка труда данных агломераций актуализирует научную и практическую значимость представленного исследования.</w:t>
      </w:r>
    </w:p>
    <w:p w14:paraId="23617AA1" w14:textId="1A656B53" w:rsidR="00A75C56" w:rsidRDefault="00724549" w:rsidP="00A75C56">
      <w:pPr>
        <w:spacing w:after="0" w:line="240" w:lineRule="auto"/>
        <w:ind w:firstLine="708"/>
        <w:jc w:val="both"/>
        <w:rPr>
          <w:rFonts w:ascii="Times New Roman" w:hAnsi="Times New Roman" w:cs="Times New Roman"/>
          <w:bCs/>
          <w:sz w:val="24"/>
          <w:szCs w:val="24"/>
        </w:rPr>
      </w:pPr>
      <w:r w:rsidRPr="00724549">
        <w:rPr>
          <w:rFonts w:ascii="Times New Roman" w:hAnsi="Times New Roman" w:cs="Times New Roman"/>
          <w:bCs/>
          <w:sz w:val="24"/>
          <w:szCs w:val="24"/>
        </w:rPr>
        <w:t>Цель</w:t>
      </w:r>
      <w:r w:rsidR="00A75C56">
        <w:rPr>
          <w:rFonts w:ascii="Times New Roman" w:hAnsi="Times New Roman" w:cs="Times New Roman"/>
          <w:bCs/>
          <w:sz w:val="24"/>
          <w:szCs w:val="24"/>
        </w:rPr>
        <w:t>ю</w:t>
      </w:r>
      <w:r w:rsidRPr="00724549">
        <w:rPr>
          <w:rFonts w:ascii="Times New Roman" w:hAnsi="Times New Roman" w:cs="Times New Roman"/>
          <w:bCs/>
          <w:sz w:val="24"/>
          <w:szCs w:val="24"/>
        </w:rPr>
        <w:t xml:space="preserve"> </w:t>
      </w:r>
      <w:r w:rsidR="00A75C56">
        <w:rPr>
          <w:rFonts w:ascii="Times New Roman" w:hAnsi="Times New Roman" w:cs="Times New Roman"/>
          <w:bCs/>
          <w:sz w:val="24"/>
          <w:szCs w:val="24"/>
        </w:rPr>
        <w:t xml:space="preserve">исследования является оценка </w:t>
      </w:r>
      <w:r w:rsidRPr="00724549">
        <w:rPr>
          <w:rFonts w:ascii="Times New Roman" w:hAnsi="Times New Roman" w:cs="Times New Roman"/>
          <w:bCs/>
          <w:sz w:val="24"/>
          <w:szCs w:val="24"/>
        </w:rPr>
        <w:t>состояния</w:t>
      </w:r>
      <w:r w:rsidR="00A75C56">
        <w:rPr>
          <w:rFonts w:ascii="Times New Roman" w:hAnsi="Times New Roman" w:cs="Times New Roman"/>
          <w:bCs/>
          <w:sz w:val="24"/>
          <w:szCs w:val="24"/>
        </w:rPr>
        <w:t xml:space="preserve"> и сбалансированности рынка труда городских</w:t>
      </w:r>
      <w:r w:rsidRPr="00724549">
        <w:rPr>
          <w:rFonts w:ascii="Times New Roman" w:hAnsi="Times New Roman" w:cs="Times New Roman"/>
          <w:bCs/>
          <w:sz w:val="24"/>
          <w:szCs w:val="24"/>
        </w:rPr>
        <w:t xml:space="preserve"> агломераций с численностью населения менее 500 тыс. человек.</w:t>
      </w:r>
      <w:r w:rsidR="00B91C98" w:rsidRPr="00B91C98">
        <w:t xml:space="preserve"> </w:t>
      </w:r>
      <w:r w:rsidR="00B91C98" w:rsidRPr="00B91C98">
        <w:rPr>
          <w:rFonts w:ascii="Times New Roman" w:hAnsi="Times New Roman" w:cs="Times New Roman"/>
          <w:bCs/>
          <w:sz w:val="24"/>
          <w:szCs w:val="24"/>
        </w:rPr>
        <w:t>Объектом исследования являлись 8 агломераций: Калужская, Тамбовская, Вологодская, Архангельская, Норильская, Южно-Сахалинская, Ханты-Мансийская и Сургутская.</w:t>
      </w:r>
    </w:p>
    <w:p w14:paraId="4B805203" w14:textId="77777777" w:rsidR="00B91C98" w:rsidRDefault="00870D03" w:rsidP="00B91C98">
      <w:pPr>
        <w:spacing w:after="0" w:line="240" w:lineRule="auto"/>
        <w:ind w:firstLine="708"/>
        <w:jc w:val="both"/>
        <w:rPr>
          <w:rFonts w:ascii="Times New Roman" w:hAnsi="Times New Roman" w:cs="Times New Roman"/>
          <w:bCs/>
          <w:sz w:val="24"/>
          <w:szCs w:val="24"/>
        </w:rPr>
      </w:pPr>
      <w:r w:rsidRPr="00870D03">
        <w:rPr>
          <w:rFonts w:ascii="Times New Roman" w:hAnsi="Times New Roman" w:cs="Times New Roman"/>
          <w:bCs/>
          <w:sz w:val="24"/>
          <w:szCs w:val="24"/>
        </w:rPr>
        <w:t>Достаточно часто для оценки наличия дисбалансов на рынках труда городских агломераций исследователи применяют сравнительный анализ показателей о количестве вакансий и численности безработных в разрезе групп занятий (специалисты высшего уровня квалификации, работники сферы обслуживания, руководители, неквалифицированные рабочие и т.д.) или в разрезе видов экономической деятельности (обрабатывающие производства, транспорт и связь, образование и т.д.).</w:t>
      </w:r>
    </w:p>
    <w:p w14:paraId="6210ABEC" w14:textId="77777777" w:rsidR="00B91C98" w:rsidRDefault="00B91C98" w:rsidP="00B91C98">
      <w:pPr>
        <w:spacing w:after="0" w:line="240" w:lineRule="auto"/>
        <w:ind w:firstLine="708"/>
        <w:jc w:val="both"/>
        <w:rPr>
          <w:rFonts w:ascii="Times New Roman" w:hAnsi="Times New Roman" w:cs="Times New Roman"/>
          <w:bCs/>
          <w:sz w:val="24"/>
          <w:szCs w:val="24"/>
        </w:rPr>
      </w:pPr>
      <w:r>
        <w:rPr>
          <w:rFonts w:ascii="Times New Roman" w:hAnsi="Times New Roman" w:cs="Times New Roman"/>
          <w:bCs/>
          <w:sz w:val="24"/>
          <w:szCs w:val="24"/>
        </w:rPr>
        <w:t>В настоящей работе д</w:t>
      </w:r>
      <w:r w:rsidR="00870D03" w:rsidRPr="00870D03">
        <w:rPr>
          <w:rFonts w:ascii="Times New Roman" w:hAnsi="Times New Roman" w:cs="Times New Roman"/>
          <w:bCs/>
          <w:sz w:val="24"/>
          <w:szCs w:val="24"/>
        </w:rPr>
        <w:t xml:space="preserve">ля оценки предложения на рынке труда в качестве основного показателя нами использовались данные о численности населения в трудоспособном возрасте в субъекте РФ, ядре и спутниковой зоне агломерации. В силу ограниченности данных муниципальной статистики оценка спроса на труд в городских агломерациях проводилась на основе имеющейся информации о количестве вакансий работодателей. Для определения цены </w:t>
      </w:r>
      <w:r w:rsidR="00870D03" w:rsidRPr="00870D03">
        <w:rPr>
          <w:rFonts w:ascii="Times New Roman" w:hAnsi="Times New Roman" w:cs="Times New Roman"/>
          <w:bCs/>
          <w:sz w:val="24"/>
          <w:szCs w:val="24"/>
        </w:rPr>
        <w:lastRenderedPageBreak/>
        <w:t xml:space="preserve">труда, нами </w:t>
      </w:r>
      <w:r>
        <w:rPr>
          <w:rFonts w:ascii="Times New Roman" w:hAnsi="Times New Roman" w:cs="Times New Roman"/>
          <w:bCs/>
          <w:sz w:val="24"/>
          <w:szCs w:val="24"/>
        </w:rPr>
        <w:t xml:space="preserve">были </w:t>
      </w:r>
      <w:r w:rsidR="00870D03" w:rsidRPr="00870D03">
        <w:rPr>
          <w:rFonts w:ascii="Times New Roman" w:hAnsi="Times New Roman" w:cs="Times New Roman"/>
          <w:bCs/>
          <w:sz w:val="24"/>
          <w:szCs w:val="24"/>
        </w:rPr>
        <w:t xml:space="preserve">проведены расчеты показателей отношения среднемесячной заработной платы работников организаций к величине регионального прожиточного минимума. </w:t>
      </w:r>
    </w:p>
    <w:p w14:paraId="4561C5CB" w14:textId="77777777" w:rsidR="00B91C98" w:rsidRDefault="00B91C98" w:rsidP="00B91C98">
      <w:pPr>
        <w:spacing w:after="0" w:line="240" w:lineRule="auto"/>
        <w:ind w:firstLine="708"/>
        <w:jc w:val="both"/>
        <w:rPr>
          <w:rFonts w:ascii="Times New Roman" w:eastAsia="Calibri" w:hAnsi="Times New Roman" w:cs="Times New Roman"/>
          <w:sz w:val="24"/>
          <w:szCs w:val="24"/>
          <w:lang w:eastAsia="ru-RU"/>
        </w:rPr>
      </w:pPr>
      <w:r>
        <w:rPr>
          <w:rFonts w:ascii="Times New Roman" w:hAnsi="Times New Roman" w:cs="Times New Roman"/>
          <w:bCs/>
          <w:sz w:val="24"/>
          <w:szCs w:val="24"/>
        </w:rPr>
        <w:t>Исследование показало, что н</w:t>
      </w:r>
      <w:r w:rsidRPr="00B91C98">
        <w:rPr>
          <w:rFonts w:ascii="Times New Roman" w:eastAsia="Calibri" w:hAnsi="Times New Roman" w:cs="Times New Roman"/>
          <w:sz w:val="24"/>
          <w:szCs w:val="24"/>
          <w:lang w:eastAsia="ru-RU"/>
        </w:rPr>
        <w:t xml:space="preserve">есмотря на негативные демографические тенденции в рассмотренных субъектах РФ, в последнее десятилетие наблюдается увеличение концентрации населения трудоспособного возраста во всех городских агломерациях, за исключением Калужской. При этом динамика наблюдаемых процессов внутри самих агломераций в разрезе ядро агломерации/спутниковая зона отличается разнонаправленностью. </w:t>
      </w:r>
    </w:p>
    <w:p w14:paraId="5A7C242C" w14:textId="77777777" w:rsidR="00B91C98" w:rsidRDefault="00B91C98" w:rsidP="00B91C98">
      <w:pPr>
        <w:spacing w:after="0" w:line="240" w:lineRule="auto"/>
        <w:ind w:firstLine="708"/>
        <w:jc w:val="both"/>
        <w:rPr>
          <w:rFonts w:ascii="Times New Roman" w:hAnsi="Times New Roman" w:cs="Times New Roman"/>
          <w:bCs/>
          <w:sz w:val="24"/>
          <w:szCs w:val="24"/>
        </w:rPr>
      </w:pPr>
      <w:r>
        <w:rPr>
          <w:rFonts w:ascii="Times New Roman" w:eastAsia="Calibri" w:hAnsi="Times New Roman" w:cs="Times New Roman"/>
          <w:sz w:val="24"/>
          <w:szCs w:val="24"/>
          <w:lang w:eastAsia="ru-RU"/>
        </w:rPr>
        <w:t>Н</w:t>
      </w:r>
      <w:r w:rsidRPr="00B91C98">
        <w:rPr>
          <w:rFonts w:ascii="Times New Roman" w:eastAsia="Calibri" w:hAnsi="Times New Roman" w:cs="Times New Roman"/>
          <w:sz w:val="24"/>
          <w:szCs w:val="24"/>
          <w:lang w:eastAsia="ru-RU"/>
        </w:rPr>
        <w:t>ами были выделены три группы агломераций: 1) с положительной динамикой показателей предложения труда в ядре и отрицательной в спутниковой зоне (Южно-Сахалинская, Ханты-Мансийская и Сургутская); 2) с более низкими темпами сокращения показателей в ядре по сравнению со спутниковой зоной (Вологодская, Архангельская, Калужская, Норильская); 3) с более высокими темпами снижения показателей в ядре по сравнению со спутниковой зоной (Тамбовская). С учетом этого можно заключить, что в большинстве рассмотренных городских агломераций риски дефицита кадров более высоки для спутниковой зоны, нежели для города-ядра. Можно сделать предположение, что крупные города более привлекательны для проживания и трудоустройства, они «вытягивают» не только население вне городской агломерации, но близлежащих территорий. Однако подтверждение данного тезиса требует проведения более глубокого анализа миграционных потоков на микроуровне, что весьма осложнено отсутствием доступности статистических данных в разрезе муниципалитетов.</w:t>
      </w:r>
    </w:p>
    <w:p w14:paraId="46AF26A0" w14:textId="77777777" w:rsidR="00B0080A" w:rsidRDefault="00B91C98" w:rsidP="00B0080A">
      <w:pPr>
        <w:spacing w:after="0" w:line="240" w:lineRule="auto"/>
        <w:ind w:firstLine="708"/>
        <w:jc w:val="both"/>
        <w:rPr>
          <w:rFonts w:ascii="Times New Roman" w:eastAsia="Calibri" w:hAnsi="Times New Roman" w:cs="Times New Roman"/>
          <w:sz w:val="24"/>
          <w:szCs w:val="24"/>
          <w:lang w:eastAsia="ru-RU"/>
        </w:rPr>
      </w:pPr>
      <w:r w:rsidRPr="00B91C98">
        <w:rPr>
          <w:rFonts w:ascii="Times New Roman" w:eastAsia="Calibri" w:hAnsi="Times New Roman" w:cs="Times New Roman"/>
          <w:sz w:val="24"/>
          <w:szCs w:val="24"/>
          <w:lang w:eastAsia="ru-RU"/>
        </w:rPr>
        <w:t>На основе результатов оценки сбалансированности спроса и предложения на рынке труда четырех городских агломераций</w:t>
      </w:r>
      <w:r w:rsidR="00B0080A">
        <w:rPr>
          <w:rFonts w:ascii="Times New Roman" w:eastAsia="Calibri" w:hAnsi="Times New Roman" w:cs="Times New Roman"/>
          <w:sz w:val="24"/>
          <w:szCs w:val="24"/>
          <w:lang w:eastAsia="ru-RU"/>
        </w:rPr>
        <w:t xml:space="preserve"> (</w:t>
      </w:r>
      <w:r w:rsidR="00B0080A" w:rsidRPr="00B0080A">
        <w:rPr>
          <w:rFonts w:ascii="Times New Roman" w:eastAsia="Calibri" w:hAnsi="Times New Roman" w:cs="Times New Roman"/>
          <w:sz w:val="24"/>
          <w:szCs w:val="24"/>
          <w:lang w:eastAsia="ru-RU"/>
        </w:rPr>
        <w:t>Архангельской, Ханты-Мансийской</w:t>
      </w:r>
      <w:r w:rsidR="00B0080A">
        <w:rPr>
          <w:rFonts w:ascii="Times New Roman" w:eastAsia="Calibri" w:hAnsi="Times New Roman" w:cs="Times New Roman"/>
          <w:sz w:val="24"/>
          <w:szCs w:val="24"/>
          <w:lang w:eastAsia="ru-RU"/>
        </w:rPr>
        <w:t>, Сургутской</w:t>
      </w:r>
      <w:r w:rsidR="00B0080A" w:rsidRPr="00B0080A">
        <w:rPr>
          <w:rFonts w:ascii="Times New Roman" w:eastAsia="Calibri" w:hAnsi="Times New Roman" w:cs="Times New Roman"/>
          <w:sz w:val="24"/>
          <w:szCs w:val="24"/>
          <w:lang w:eastAsia="ru-RU"/>
        </w:rPr>
        <w:t xml:space="preserve"> и Вологодской</w:t>
      </w:r>
      <w:r w:rsidR="00B0080A">
        <w:rPr>
          <w:rFonts w:ascii="Times New Roman" w:eastAsia="Calibri" w:hAnsi="Times New Roman" w:cs="Times New Roman"/>
          <w:sz w:val="24"/>
          <w:szCs w:val="24"/>
          <w:lang w:eastAsia="ru-RU"/>
        </w:rPr>
        <w:t>)</w:t>
      </w:r>
      <w:r w:rsidRPr="00B91C98">
        <w:rPr>
          <w:rFonts w:ascii="Times New Roman" w:eastAsia="Calibri" w:hAnsi="Times New Roman" w:cs="Times New Roman"/>
          <w:sz w:val="24"/>
          <w:szCs w:val="24"/>
          <w:lang w:eastAsia="ru-RU"/>
        </w:rPr>
        <w:t xml:space="preserve"> установлено, что во всех из них численность зарегистрированных безработных меньше количества заявленных работодателями вакансий. Низкий уровень </w:t>
      </w:r>
      <w:r w:rsidR="00B0080A" w:rsidRPr="00B91C98">
        <w:rPr>
          <w:rFonts w:ascii="Times New Roman" w:eastAsia="Calibri" w:hAnsi="Times New Roman" w:cs="Times New Roman"/>
          <w:sz w:val="24"/>
          <w:szCs w:val="24"/>
          <w:lang w:eastAsia="ru-RU"/>
        </w:rPr>
        <w:t>безработицы, с одной стороны,</w:t>
      </w:r>
      <w:r w:rsidRPr="00B91C98">
        <w:rPr>
          <w:rFonts w:ascii="Times New Roman" w:eastAsia="Calibri" w:hAnsi="Times New Roman" w:cs="Times New Roman"/>
          <w:sz w:val="24"/>
          <w:szCs w:val="24"/>
          <w:lang w:eastAsia="ru-RU"/>
        </w:rPr>
        <w:t xml:space="preserve"> можно расценивать положительно, к тому же в сложившихся условиях население агломерации обладает более широким выбором для профессиональной самореализации. С другой стороны, возникает проблема дефицита кадров, о наличии которой можно говорить по отношению к Вологодской, Архангельской и Ханты-Мансийской агломерациям. </w:t>
      </w:r>
    </w:p>
    <w:p w14:paraId="614C9709" w14:textId="77777777" w:rsidR="00B0080A" w:rsidRDefault="00B0080A" w:rsidP="00B0080A">
      <w:pPr>
        <w:spacing w:after="0" w:line="240" w:lineRule="auto"/>
        <w:ind w:firstLine="708"/>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В</w:t>
      </w:r>
      <w:r w:rsidR="00B91C98" w:rsidRPr="00A75C56">
        <w:rPr>
          <w:rFonts w:ascii="Times New Roman" w:eastAsia="Calibri" w:hAnsi="Times New Roman" w:cs="Times New Roman"/>
          <w:sz w:val="24"/>
          <w:szCs w:val="24"/>
          <w:lang w:eastAsia="ru-RU"/>
        </w:rPr>
        <w:t xml:space="preserve"> результате анализа данных, характеризующих спрос и предложение труда в разрезе ядро/спутниковая зона также выявлено наличие дисбалансов. При этом для крупных городов Архангельской, Вологодской и Ханты-Мансийской агломераций проблема дефицита кадров проявляется более остро, нежели в прилегающих к ним территориях. Помимо этого, установлено, что рабочие профессии более востребованы в спутниковой зоне городских агломераций.  Данный факт отчасти объясняется особенностями экономической специализации городов-спутников, поскольку многие из них являются промышленными моногородами (например, г. Новодвинск и г. Северодвинск в Архангельской; г. Сокол – в Вологодской агломерациях). В крупных городах выше потребность в кадровом обеспечении не только реального сектора экономики, но и социальной сферы, включая сектор государственного управления.</w:t>
      </w:r>
    </w:p>
    <w:p w14:paraId="7BBCB6E6" w14:textId="512B1C27" w:rsidR="00B91C98" w:rsidRPr="00A75C56" w:rsidRDefault="00B91C98" w:rsidP="00B0080A">
      <w:pPr>
        <w:spacing w:after="0" w:line="240" w:lineRule="auto"/>
        <w:ind w:firstLine="708"/>
        <w:jc w:val="both"/>
        <w:rPr>
          <w:rFonts w:ascii="Times New Roman" w:eastAsia="Calibri" w:hAnsi="Times New Roman" w:cs="Times New Roman"/>
          <w:sz w:val="24"/>
          <w:szCs w:val="24"/>
          <w:lang w:eastAsia="ru-RU"/>
        </w:rPr>
      </w:pPr>
      <w:r w:rsidRPr="00A75C56">
        <w:rPr>
          <w:rFonts w:ascii="Times New Roman" w:hAnsi="Times New Roman" w:cs="Times New Roman"/>
          <w:sz w:val="24"/>
          <w:szCs w:val="20"/>
        </w:rPr>
        <w:t xml:space="preserve">Выявлено, что во всех рассмотренных городских агломерациях, за исключением Калужской, показатель соотношения заработной платы к прожиточному минимуму </w:t>
      </w:r>
      <w:r w:rsidR="00B0080A" w:rsidRPr="00A75C56">
        <w:rPr>
          <w:rFonts w:ascii="Times New Roman" w:hAnsi="Times New Roman" w:cs="Times New Roman"/>
          <w:sz w:val="24"/>
          <w:szCs w:val="20"/>
        </w:rPr>
        <w:t>выше,</w:t>
      </w:r>
      <w:r w:rsidRPr="00A75C56">
        <w:rPr>
          <w:rFonts w:ascii="Times New Roman" w:hAnsi="Times New Roman" w:cs="Times New Roman"/>
          <w:sz w:val="24"/>
          <w:szCs w:val="20"/>
        </w:rPr>
        <w:t xml:space="preserve"> чем в среднем по региону, что выступает важнейшим стимулом для привлечения квалифицированных кадров и, соответственно, одним из ключевых факторов развития сферы экономики. </w:t>
      </w:r>
      <w:r w:rsidR="00B0080A" w:rsidRPr="00B0080A">
        <w:rPr>
          <w:rFonts w:ascii="Times New Roman" w:hAnsi="Times New Roman" w:cs="Times New Roman"/>
          <w:sz w:val="24"/>
          <w:szCs w:val="20"/>
        </w:rPr>
        <w:t xml:space="preserve">На фоне всех исследуемых агломераций </w:t>
      </w:r>
      <w:r w:rsidR="00B0080A">
        <w:rPr>
          <w:rFonts w:ascii="Times New Roman" w:hAnsi="Times New Roman" w:cs="Times New Roman"/>
          <w:sz w:val="24"/>
          <w:szCs w:val="20"/>
        </w:rPr>
        <w:t xml:space="preserve">также </w:t>
      </w:r>
      <w:r w:rsidR="00B0080A" w:rsidRPr="00B0080A">
        <w:rPr>
          <w:rFonts w:ascii="Times New Roman" w:hAnsi="Times New Roman" w:cs="Times New Roman"/>
          <w:sz w:val="24"/>
          <w:szCs w:val="20"/>
        </w:rPr>
        <w:t xml:space="preserve">заметно выделяется Норильская, в которой среднемесячная заработная плата в муниципальных образованиях в 8,2 раза превышает величину регионального прожиточного минимума, тогда как с среднем по Красноярскому краю лишь в 4,3 раза. Уровень дифференциации между муниципалитетами постепенно снижается, что в свою очередь выступает одним из факторов роста привлекательности предприятий спутниковой зоны для трудоустройства жителей ядра агломерации. </w:t>
      </w:r>
      <w:r w:rsidRPr="00A75C56">
        <w:rPr>
          <w:rFonts w:ascii="Times New Roman" w:hAnsi="Times New Roman" w:cs="Times New Roman"/>
          <w:sz w:val="24"/>
          <w:szCs w:val="20"/>
        </w:rPr>
        <w:t xml:space="preserve">Размер оплаты труда в спутниковых зонах постепенно догоняет значения </w:t>
      </w:r>
      <w:r w:rsidRPr="00A75C56">
        <w:rPr>
          <w:rFonts w:ascii="Times New Roman" w:hAnsi="Times New Roman" w:cs="Times New Roman"/>
          <w:sz w:val="24"/>
          <w:szCs w:val="20"/>
        </w:rPr>
        <w:lastRenderedPageBreak/>
        <w:t>показателей в ядрах, что в свою очередь повышает степень их привлекательности в целях трудоустройства жителей крупных городов. В данном контексте проблема дефицита кадров в ядрах городских агломераций может обостриться еще сильнее</w:t>
      </w:r>
      <w:r w:rsidR="00E930E1">
        <w:rPr>
          <w:rFonts w:ascii="Times New Roman" w:hAnsi="Times New Roman" w:cs="Times New Roman"/>
          <w:sz w:val="24"/>
          <w:szCs w:val="20"/>
        </w:rPr>
        <w:t xml:space="preserve"> </w:t>
      </w:r>
      <w:r w:rsidR="00E930E1" w:rsidRPr="00E930E1">
        <w:rPr>
          <w:rFonts w:ascii="Times New Roman" w:hAnsi="Times New Roman" w:cs="Times New Roman"/>
          <w:sz w:val="24"/>
          <w:szCs w:val="20"/>
        </w:rPr>
        <w:t>[5]</w:t>
      </w:r>
      <w:r w:rsidRPr="00A75C56">
        <w:rPr>
          <w:rFonts w:ascii="Times New Roman" w:hAnsi="Times New Roman" w:cs="Times New Roman"/>
          <w:sz w:val="24"/>
          <w:szCs w:val="20"/>
        </w:rPr>
        <w:t xml:space="preserve">. </w:t>
      </w:r>
    </w:p>
    <w:p w14:paraId="2FEF2D7B" w14:textId="77777777" w:rsidR="00B0080A" w:rsidRDefault="00724549">
      <w:pPr>
        <w:spacing w:after="0" w:line="240" w:lineRule="auto"/>
        <w:ind w:firstLine="709"/>
        <w:jc w:val="both"/>
        <w:rPr>
          <w:rFonts w:ascii="Times New Roman" w:hAnsi="Times New Roman" w:cs="Times New Roman"/>
          <w:sz w:val="24"/>
          <w:szCs w:val="24"/>
        </w:rPr>
      </w:pPr>
      <w:r w:rsidRPr="00724549">
        <w:rPr>
          <w:rFonts w:ascii="Times New Roman" w:hAnsi="Times New Roman" w:cs="Times New Roman"/>
          <w:sz w:val="24"/>
          <w:szCs w:val="24"/>
        </w:rPr>
        <w:t xml:space="preserve">Для того чтобы эффективно справиться с выявленным дисбалансом на рынке труда, необходимо разработать и реализовать целый ряд мер, направленных на стимулирование экономического роста и улучшение качества жизни в городских агломерациях. В первую очередь, критически важно создать единую, интегрированную службу занятости населения, которая сможет эффективно координировать процессы поиска работы и подбора персонала, обеспечивая оперативное взаимодействие между работодателями и соискателями по всей территории агломерации. Это позволит более точно определить потребности рынка труда и направить усилия по подготовке и переподготовке кадров в нужных направлениях. </w:t>
      </w:r>
    </w:p>
    <w:p w14:paraId="3CBF7A0E" w14:textId="77777777" w:rsidR="00B0080A" w:rsidRDefault="00724549">
      <w:pPr>
        <w:spacing w:after="0" w:line="240" w:lineRule="auto"/>
        <w:ind w:firstLine="709"/>
        <w:jc w:val="both"/>
        <w:rPr>
          <w:rFonts w:ascii="Times New Roman" w:hAnsi="Times New Roman" w:cs="Times New Roman"/>
          <w:sz w:val="24"/>
          <w:szCs w:val="24"/>
        </w:rPr>
      </w:pPr>
      <w:r w:rsidRPr="00724549">
        <w:rPr>
          <w:rFonts w:ascii="Times New Roman" w:hAnsi="Times New Roman" w:cs="Times New Roman"/>
          <w:sz w:val="24"/>
          <w:szCs w:val="24"/>
        </w:rPr>
        <w:t xml:space="preserve">Кроме того, необходимо стимулировать создание новых предприятий малого и среднего бизнеса, расширяя тем самым спектр доступных рабочих мест. Это потребует разработки комплекса мер поддержки предпринимательской активности, включая упрощение процедур регистрации бизнеса, предоставление налоговых льгот и субсидий, а также создание благоприятного инвестиционного климата. Параллельно с этим, необходимо повысить качество миграционного притока, привлекая квалифицированных специалистов из других регионов. Для этого потребуется проведение активных рекламных кампаний, создание комфортных условий для проживания и работы, а также обеспечение соответствующей социальной инфраструктуры. </w:t>
      </w:r>
    </w:p>
    <w:p w14:paraId="3E7CD80D" w14:textId="77777777" w:rsidR="00B0080A" w:rsidRDefault="00724549">
      <w:pPr>
        <w:spacing w:after="0" w:line="240" w:lineRule="auto"/>
        <w:ind w:firstLine="709"/>
        <w:jc w:val="both"/>
        <w:rPr>
          <w:rFonts w:ascii="Times New Roman" w:hAnsi="Times New Roman" w:cs="Times New Roman"/>
          <w:sz w:val="24"/>
          <w:szCs w:val="24"/>
        </w:rPr>
      </w:pPr>
      <w:r w:rsidRPr="00724549">
        <w:rPr>
          <w:rFonts w:ascii="Times New Roman" w:hAnsi="Times New Roman" w:cs="Times New Roman"/>
          <w:sz w:val="24"/>
          <w:szCs w:val="24"/>
        </w:rPr>
        <w:t xml:space="preserve">Нельзя забывать и о развитии транспортной инфраструктуры. Увеличение скорости и эффективности перемещения по территории агломерации позволит сократить время на дорогу, улучшит доступность рабочих мест для жителей удаленных районов и повысит общую мобильность населения. Это потребует инвестиций в модернизацию дорожной сети, развитие общественного транспорта, а также создание удобных парковочных зон. </w:t>
      </w:r>
    </w:p>
    <w:p w14:paraId="06D7A803" w14:textId="77777777" w:rsidR="00B0080A" w:rsidRDefault="00724549">
      <w:pPr>
        <w:spacing w:after="0" w:line="240" w:lineRule="auto"/>
        <w:ind w:firstLine="709"/>
        <w:jc w:val="both"/>
        <w:rPr>
          <w:rFonts w:ascii="Times New Roman" w:hAnsi="Times New Roman" w:cs="Times New Roman"/>
          <w:sz w:val="24"/>
          <w:szCs w:val="24"/>
        </w:rPr>
      </w:pPr>
      <w:r w:rsidRPr="00724549">
        <w:rPr>
          <w:rFonts w:ascii="Times New Roman" w:hAnsi="Times New Roman" w:cs="Times New Roman"/>
          <w:sz w:val="24"/>
          <w:szCs w:val="24"/>
        </w:rPr>
        <w:t xml:space="preserve">Наконец, важнейшим элементом решения проблемы является реализация согласованной политики в сфере жилищного строительства, направленной на создание доступного и комфортного жилья для жителей городских агломераций. Это снизит стоимость жизни, улучшит условия проживания и сделает агломерации более привлекательными для новых жителей и работников. </w:t>
      </w:r>
    </w:p>
    <w:p w14:paraId="67A35E13" w14:textId="5BD118FF" w:rsidR="006F7FCA" w:rsidRDefault="00B0080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724549" w:rsidRPr="00724549">
        <w:rPr>
          <w:rFonts w:ascii="Times New Roman" w:hAnsi="Times New Roman" w:cs="Times New Roman"/>
          <w:sz w:val="24"/>
          <w:szCs w:val="24"/>
        </w:rPr>
        <w:t>истематическая реализация всех вышеперечисленных мер позволит не только снизить напряженность на рынке труда, но и достичь более равномерного распределения населения и экономической активности в пределах городских агломераций. Это, в свою очередь, приведет к укреплению экономического пространства и повышению его связанности, способствуя</w:t>
      </w:r>
      <w:r>
        <w:rPr>
          <w:rFonts w:ascii="Times New Roman" w:hAnsi="Times New Roman" w:cs="Times New Roman"/>
          <w:sz w:val="24"/>
          <w:szCs w:val="24"/>
        </w:rPr>
        <w:t xml:space="preserve"> в целом повышению уровня социально-экономического развития регионов.</w:t>
      </w:r>
      <w:r w:rsidR="00724549" w:rsidRPr="00724549">
        <w:rPr>
          <w:rFonts w:ascii="Times New Roman" w:hAnsi="Times New Roman" w:cs="Times New Roman"/>
          <w:sz w:val="24"/>
          <w:szCs w:val="24"/>
        </w:rPr>
        <w:t xml:space="preserve"> </w:t>
      </w:r>
    </w:p>
    <w:p w14:paraId="44408B67" w14:textId="77777777" w:rsidR="006F7FCA" w:rsidRDefault="006F7FCA">
      <w:pPr>
        <w:spacing w:after="0" w:line="240" w:lineRule="auto"/>
        <w:jc w:val="both"/>
        <w:rPr>
          <w:rFonts w:ascii="Times New Roman" w:hAnsi="Times New Roman" w:cs="Times New Roman"/>
          <w:bCs/>
          <w:sz w:val="24"/>
          <w:szCs w:val="24"/>
        </w:rPr>
      </w:pPr>
    </w:p>
    <w:p w14:paraId="7B30C88E" w14:textId="77777777" w:rsidR="006F7FCA" w:rsidRPr="00E930E1" w:rsidRDefault="000600C7">
      <w:pPr>
        <w:spacing w:after="0" w:line="240" w:lineRule="auto"/>
        <w:jc w:val="center"/>
        <w:rPr>
          <w:rFonts w:ascii="Times New Roman" w:hAnsi="Times New Roman" w:cs="Times New Roman"/>
          <w:b/>
          <w:sz w:val="24"/>
          <w:szCs w:val="24"/>
        </w:rPr>
      </w:pPr>
      <w:r w:rsidRPr="00E930E1">
        <w:rPr>
          <w:rFonts w:ascii="Times New Roman" w:hAnsi="Times New Roman" w:cs="Times New Roman"/>
          <w:b/>
          <w:sz w:val="24"/>
          <w:szCs w:val="24"/>
        </w:rPr>
        <w:t>Библиографический список</w:t>
      </w:r>
    </w:p>
    <w:p w14:paraId="1213EADA"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r w:rsidRPr="00E930E1">
        <w:rPr>
          <w:rFonts w:ascii="Times New Roman" w:hAnsi="Times New Roman" w:cs="Times New Roman"/>
          <w:sz w:val="24"/>
          <w:szCs w:val="24"/>
        </w:rPr>
        <w:t>Антонов Е.В. (2020). Рынки труда городских агломераций в России // Региональные исследования. № 2. С. 88–100. DOI: 10.5922/1994-5280-2020-2-7</w:t>
      </w:r>
    </w:p>
    <w:p w14:paraId="21256505"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r w:rsidRPr="00E930E1">
        <w:rPr>
          <w:rFonts w:ascii="Times New Roman" w:hAnsi="Times New Roman" w:cs="Times New Roman"/>
          <w:sz w:val="24"/>
          <w:szCs w:val="24"/>
        </w:rPr>
        <w:t>Бугаев М.А. (2015). Маятниковые миграции на рынке труда Санкт-Петербурга и Ленинградской области // Вестник Санкт-Петербургского университета. Экономика. Т. 4. С. 86–116.</w:t>
      </w:r>
    </w:p>
    <w:p w14:paraId="32A130A8"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r w:rsidRPr="00E930E1">
        <w:rPr>
          <w:rFonts w:ascii="Times New Roman" w:hAnsi="Times New Roman" w:cs="Times New Roman"/>
          <w:sz w:val="24"/>
          <w:szCs w:val="24"/>
        </w:rPr>
        <w:t>Ворошилов Н.В. (2021). Развитие городских агломераций на территории Европейского Севера России // Федерализм. Т. 26, № 4(104). С. 54-74. DOI: 10.21686/2073-1051-2021-4-54-74.</w:t>
      </w:r>
    </w:p>
    <w:p w14:paraId="6CD46D94"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proofErr w:type="spellStart"/>
      <w:r w:rsidRPr="00E930E1">
        <w:rPr>
          <w:rFonts w:ascii="Times New Roman" w:hAnsi="Times New Roman" w:cs="Times New Roman"/>
          <w:sz w:val="24"/>
          <w:szCs w:val="24"/>
        </w:rPr>
        <w:t>Окрепилов</w:t>
      </w:r>
      <w:proofErr w:type="spellEnd"/>
      <w:r w:rsidRPr="00E930E1">
        <w:rPr>
          <w:rFonts w:ascii="Times New Roman" w:hAnsi="Times New Roman" w:cs="Times New Roman"/>
          <w:sz w:val="24"/>
          <w:szCs w:val="24"/>
        </w:rPr>
        <w:t xml:space="preserve"> В.В., Коршунов И.В. (2024). Управление развитием агломерации в условиях множества конкурирующих целей: задачи и решения // Экономические и социальные перемены: факты, тенденции, прогноз. Т. 17. № 1. С. 60–78. DOI: 10.15838/esc.2024.1.91.3</w:t>
      </w:r>
    </w:p>
    <w:p w14:paraId="2C7CAAB9"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r w:rsidRPr="00E930E1">
        <w:rPr>
          <w:rFonts w:ascii="Times New Roman" w:hAnsi="Times New Roman" w:cs="Times New Roman"/>
          <w:sz w:val="24"/>
          <w:szCs w:val="24"/>
        </w:rPr>
        <w:t>Секушина И.А. Рынок труда городских агломераций: состояние и проблемы развития // Экономика труда. 2024. Т. 11, № 4. С. 525-548. DOI 10.18334/et.11.4.120814.</w:t>
      </w:r>
    </w:p>
    <w:p w14:paraId="45AE3AAC"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r w:rsidRPr="00E930E1">
        <w:rPr>
          <w:rFonts w:ascii="Times New Roman" w:hAnsi="Times New Roman" w:cs="Times New Roman"/>
          <w:sz w:val="24"/>
          <w:szCs w:val="24"/>
        </w:rPr>
        <w:lastRenderedPageBreak/>
        <w:t xml:space="preserve">Симонова М.В., Чистик О.Ф (2015). Демографические аспекты формирования трудового потенциала </w:t>
      </w:r>
      <w:proofErr w:type="spellStart"/>
      <w:r w:rsidRPr="00E930E1">
        <w:rPr>
          <w:rFonts w:ascii="Times New Roman" w:hAnsi="Times New Roman" w:cs="Times New Roman"/>
          <w:sz w:val="24"/>
          <w:szCs w:val="24"/>
        </w:rPr>
        <w:t>Самарско</w:t>
      </w:r>
      <w:proofErr w:type="spellEnd"/>
      <w:r w:rsidRPr="00E930E1">
        <w:rPr>
          <w:rFonts w:ascii="Times New Roman" w:hAnsi="Times New Roman" w:cs="Times New Roman"/>
          <w:sz w:val="24"/>
          <w:szCs w:val="24"/>
        </w:rPr>
        <w:t>-Тольяттинской агломерации // Вестник Самарского государственного экономического университета. № 5 (127). С. 55–58.</w:t>
      </w:r>
    </w:p>
    <w:p w14:paraId="480DAC8E"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proofErr w:type="spellStart"/>
      <w:r w:rsidRPr="00E930E1">
        <w:rPr>
          <w:rFonts w:ascii="Times New Roman" w:hAnsi="Times New Roman" w:cs="Times New Roman"/>
          <w:sz w:val="24"/>
          <w:szCs w:val="24"/>
        </w:rPr>
        <w:t>Фаузер</w:t>
      </w:r>
      <w:proofErr w:type="spellEnd"/>
      <w:r w:rsidRPr="00E930E1">
        <w:rPr>
          <w:rFonts w:ascii="Times New Roman" w:hAnsi="Times New Roman" w:cs="Times New Roman"/>
          <w:sz w:val="24"/>
          <w:szCs w:val="24"/>
        </w:rPr>
        <w:t xml:space="preserve"> В.В., Смирнов А.В., Лыткина Т.С., </w:t>
      </w:r>
      <w:proofErr w:type="spellStart"/>
      <w:r w:rsidRPr="00E930E1">
        <w:rPr>
          <w:rFonts w:ascii="Times New Roman" w:hAnsi="Times New Roman" w:cs="Times New Roman"/>
          <w:sz w:val="24"/>
          <w:szCs w:val="24"/>
        </w:rPr>
        <w:t>Фаузер</w:t>
      </w:r>
      <w:proofErr w:type="spellEnd"/>
      <w:r w:rsidRPr="00E930E1">
        <w:rPr>
          <w:rFonts w:ascii="Times New Roman" w:hAnsi="Times New Roman" w:cs="Times New Roman"/>
          <w:sz w:val="24"/>
          <w:szCs w:val="24"/>
        </w:rPr>
        <w:t xml:space="preserve"> Г.Н. (2021). Городские агломерации в системе расселения Севера России // Экономические и социальные перемены: факты, тенденции, </w:t>
      </w:r>
      <w:proofErr w:type="gramStart"/>
      <w:r w:rsidRPr="00E930E1">
        <w:rPr>
          <w:rFonts w:ascii="Times New Roman" w:hAnsi="Times New Roman" w:cs="Times New Roman"/>
          <w:sz w:val="24"/>
          <w:szCs w:val="24"/>
        </w:rPr>
        <w:t>прогноз..</w:t>
      </w:r>
      <w:proofErr w:type="gramEnd"/>
      <w:r w:rsidRPr="00E930E1">
        <w:rPr>
          <w:rFonts w:ascii="Times New Roman" w:hAnsi="Times New Roman" w:cs="Times New Roman"/>
          <w:sz w:val="24"/>
          <w:szCs w:val="24"/>
        </w:rPr>
        <w:t xml:space="preserve"> Т. 14. № 4. С. 77-96. DOI: 10.15838/esc.2021.4.76.5</w:t>
      </w:r>
    </w:p>
    <w:p w14:paraId="05CA7FFA"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proofErr w:type="spellStart"/>
      <w:r w:rsidRPr="00E930E1">
        <w:rPr>
          <w:rFonts w:ascii="Times New Roman" w:hAnsi="Times New Roman" w:cs="Times New Roman"/>
          <w:sz w:val="24"/>
          <w:szCs w:val="24"/>
          <w:lang w:val="en-US"/>
        </w:rPr>
        <w:t>Duguet</w:t>
      </w:r>
      <w:proofErr w:type="spellEnd"/>
      <w:r w:rsidRPr="00E930E1">
        <w:rPr>
          <w:rFonts w:ascii="Times New Roman" w:hAnsi="Times New Roman" w:cs="Times New Roman"/>
          <w:sz w:val="24"/>
          <w:szCs w:val="24"/>
          <w:lang w:val="en-US"/>
        </w:rPr>
        <w:t xml:space="preserve"> E., </w:t>
      </w:r>
      <w:proofErr w:type="spellStart"/>
      <w:r w:rsidRPr="00E930E1">
        <w:rPr>
          <w:rFonts w:ascii="Times New Roman" w:hAnsi="Times New Roman" w:cs="Times New Roman"/>
          <w:sz w:val="24"/>
          <w:szCs w:val="24"/>
          <w:lang w:val="en-US"/>
        </w:rPr>
        <w:t>L'horty</w:t>
      </w:r>
      <w:proofErr w:type="spellEnd"/>
      <w:r w:rsidRPr="00E930E1">
        <w:rPr>
          <w:rFonts w:ascii="Times New Roman" w:hAnsi="Times New Roman" w:cs="Times New Roman"/>
          <w:sz w:val="24"/>
          <w:szCs w:val="24"/>
          <w:lang w:val="en-US"/>
        </w:rPr>
        <w:t xml:space="preserve"> Y., Sari F. (2023). Agglomeration effects and unemployment to work: Evidence from French data. </w:t>
      </w:r>
      <w:proofErr w:type="spellStart"/>
      <w:r w:rsidRPr="00E930E1">
        <w:rPr>
          <w:rFonts w:ascii="Times New Roman" w:hAnsi="Times New Roman" w:cs="Times New Roman"/>
          <w:sz w:val="24"/>
          <w:szCs w:val="24"/>
        </w:rPr>
        <w:t>Papers</w:t>
      </w:r>
      <w:proofErr w:type="spellEnd"/>
      <w:r w:rsidRPr="00E930E1">
        <w:rPr>
          <w:rFonts w:ascii="Times New Roman" w:hAnsi="Times New Roman" w:cs="Times New Roman"/>
          <w:sz w:val="24"/>
          <w:szCs w:val="24"/>
        </w:rPr>
        <w:t xml:space="preserve"> </w:t>
      </w:r>
      <w:proofErr w:type="spellStart"/>
      <w:r w:rsidRPr="00E930E1">
        <w:rPr>
          <w:rFonts w:ascii="Times New Roman" w:hAnsi="Times New Roman" w:cs="Times New Roman"/>
          <w:sz w:val="24"/>
          <w:szCs w:val="24"/>
        </w:rPr>
        <w:t>in</w:t>
      </w:r>
      <w:proofErr w:type="spellEnd"/>
      <w:r w:rsidRPr="00E930E1">
        <w:rPr>
          <w:rFonts w:ascii="Times New Roman" w:hAnsi="Times New Roman" w:cs="Times New Roman"/>
          <w:sz w:val="24"/>
          <w:szCs w:val="24"/>
        </w:rPr>
        <w:t xml:space="preserve"> Regional Science, 102(1), 129–166. </w:t>
      </w:r>
      <w:hyperlink r:id="rId8" w:history="1">
        <w:r w:rsidRPr="00E930E1">
          <w:rPr>
            <w:rStyle w:val="af0"/>
            <w:rFonts w:ascii="Times New Roman" w:hAnsi="Times New Roman" w:cs="Times New Roman"/>
            <w:sz w:val="24"/>
            <w:szCs w:val="24"/>
          </w:rPr>
          <w:t>https://doi.org/10.1111/pirs.12718</w:t>
        </w:r>
      </w:hyperlink>
    </w:p>
    <w:p w14:paraId="449C4774" w14:textId="77777777" w:rsidR="00E930E1" w:rsidRPr="00E930E1" w:rsidRDefault="00E930E1" w:rsidP="00E930E1">
      <w:pPr>
        <w:pStyle w:val="a3"/>
        <w:numPr>
          <w:ilvl w:val="0"/>
          <w:numId w:val="7"/>
        </w:numPr>
        <w:tabs>
          <w:tab w:val="left" w:pos="993"/>
        </w:tabs>
        <w:spacing w:after="0" w:line="240" w:lineRule="auto"/>
        <w:ind w:left="0" w:firstLine="709"/>
        <w:jc w:val="both"/>
        <w:rPr>
          <w:rFonts w:ascii="Times New Roman" w:hAnsi="Times New Roman" w:cs="Times New Roman"/>
          <w:sz w:val="24"/>
          <w:szCs w:val="24"/>
        </w:rPr>
      </w:pPr>
      <w:proofErr w:type="spellStart"/>
      <w:r w:rsidRPr="00E930E1">
        <w:rPr>
          <w:rFonts w:ascii="Times New Roman" w:hAnsi="Times New Roman" w:cs="Times New Roman"/>
          <w:sz w:val="24"/>
          <w:szCs w:val="24"/>
          <w:lang w:val="en-US"/>
        </w:rPr>
        <w:t>Mitze</w:t>
      </w:r>
      <w:proofErr w:type="spellEnd"/>
      <w:r w:rsidRPr="00E930E1">
        <w:rPr>
          <w:rFonts w:ascii="Times New Roman" w:hAnsi="Times New Roman" w:cs="Times New Roman"/>
          <w:sz w:val="24"/>
          <w:szCs w:val="24"/>
          <w:lang w:val="en-US"/>
        </w:rPr>
        <w:t xml:space="preserve"> T., Schmidt T. D. (2015). Internal migration, regional labor markets and the role of agglomeration economies. </w:t>
      </w:r>
      <w:r w:rsidRPr="00E930E1">
        <w:rPr>
          <w:rFonts w:ascii="Times New Roman" w:hAnsi="Times New Roman" w:cs="Times New Roman"/>
          <w:sz w:val="24"/>
          <w:szCs w:val="24"/>
        </w:rPr>
        <w:t xml:space="preserve">The </w:t>
      </w:r>
      <w:proofErr w:type="spellStart"/>
      <w:r w:rsidRPr="00E930E1">
        <w:rPr>
          <w:rFonts w:ascii="Times New Roman" w:hAnsi="Times New Roman" w:cs="Times New Roman"/>
          <w:sz w:val="24"/>
          <w:szCs w:val="24"/>
        </w:rPr>
        <w:t>Annals</w:t>
      </w:r>
      <w:proofErr w:type="spellEnd"/>
      <w:r w:rsidRPr="00E930E1">
        <w:rPr>
          <w:rFonts w:ascii="Times New Roman" w:hAnsi="Times New Roman" w:cs="Times New Roman"/>
          <w:sz w:val="24"/>
          <w:szCs w:val="24"/>
        </w:rPr>
        <w:t xml:space="preserve"> </w:t>
      </w:r>
      <w:proofErr w:type="spellStart"/>
      <w:r w:rsidRPr="00E930E1">
        <w:rPr>
          <w:rFonts w:ascii="Times New Roman" w:hAnsi="Times New Roman" w:cs="Times New Roman"/>
          <w:sz w:val="24"/>
          <w:szCs w:val="24"/>
        </w:rPr>
        <w:t>of</w:t>
      </w:r>
      <w:proofErr w:type="spellEnd"/>
      <w:r w:rsidRPr="00E930E1">
        <w:rPr>
          <w:rFonts w:ascii="Times New Roman" w:hAnsi="Times New Roman" w:cs="Times New Roman"/>
          <w:sz w:val="24"/>
          <w:szCs w:val="24"/>
        </w:rPr>
        <w:t xml:space="preserve"> Regional Science, 55, 61-101.</w:t>
      </w:r>
    </w:p>
    <w:p w14:paraId="2CF8DB54" w14:textId="77777777" w:rsidR="00E930E1" w:rsidRDefault="00E930E1">
      <w:pPr>
        <w:spacing w:after="0" w:line="240" w:lineRule="auto"/>
        <w:jc w:val="center"/>
        <w:rPr>
          <w:rFonts w:ascii="Times New Roman" w:hAnsi="Times New Roman" w:cs="Times New Roman"/>
          <w:b/>
          <w:bCs/>
          <w:sz w:val="24"/>
          <w:szCs w:val="24"/>
          <w:shd w:val="clear" w:color="auto" w:fill="FFFFFF"/>
        </w:rPr>
      </w:pPr>
    </w:p>
    <w:p w14:paraId="43A93DE1" w14:textId="18631A69" w:rsidR="006F7FCA" w:rsidRDefault="000600C7">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14:paraId="4EB7B9D4" w14:textId="480747B0" w:rsidR="006F7FCA" w:rsidRPr="00850E51" w:rsidRDefault="00850E51">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Секушина</w:t>
      </w:r>
      <w:r w:rsidR="000600C7">
        <w:rPr>
          <w:rFonts w:ascii="Times New Roman" w:hAnsi="Times New Roman" w:cs="Times New Roman"/>
          <w:b/>
          <w:bCs/>
          <w:sz w:val="24"/>
          <w:szCs w:val="24"/>
        </w:rPr>
        <w:t xml:space="preserve"> Ирина </w:t>
      </w:r>
      <w:r>
        <w:rPr>
          <w:rFonts w:ascii="Times New Roman" w:hAnsi="Times New Roman" w:cs="Times New Roman"/>
          <w:b/>
          <w:bCs/>
          <w:sz w:val="24"/>
          <w:szCs w:val="24"/>
        </w:rPr>
        <w:t>Анатольевна</w:t>
      </w:r>
      <w:r w:rsidR="000600C7">
        <w:rPr>
          <w:rFonts w:ascii="Times New Roman" w:hAnsi="Times New Roman" w:cs="Times New Roman"/>
          <w:b/>
          <w:bCs/>
          <w:sz w:val="24"/>
          <w:szCs w:val="24"/>
        </w:rPr>
        <w:t xml:space="preserve"> (Россия, Вологда)</w:t>
      </w:r>
      <w:r w:rsidR="000600C7">
        <w:rPr>
          <w:rFonts w:ascii="Times New Roman" w:hAnsi="Times New Roman" w:cs="Times New Roman"/>
          <w:sz w:val="24"/>
          <w:szCs w:val="24"/>
        </w:rPr>
        <w:t xml:space="preserve"> – </w:t>
      </w:r>
      <w:r>
        <w:rPr>
          <w:rFonts w:ascii="Times New Roman" w:hAnsi="Times New Roman" w:cs="Times New Roman"/>
          <w:sz w:val="24"/>
          <w:szCs w:val="24"/>
        </w:rPr>
        <w:t xml:space="preserve">старший </w:t>
      </w:r>
      <w:r w:rsidR="000600C7">
        <w:rPr>
          <w:rFonts w:ascii="Times New Roman" w:hAnsi="Times New Roman" w:cs="Times New Roman"/>
          <w:sz w:val="24"/>
          <w:szCs w:val="24"/>
        </w:rPr>
        <w:t>научный сотрудник,</w:t>
      </w:r>
      <w:r>
        <w:rPr>
          <w:rFonts w:ascii="Times New Roman" w:hAnsi="Times New Roman" w:cs="Times New Roman"/>
          <w:sz w:val="24"/>
          <w:szCs w:val="24"/>
        </w:rPr>
        <w:t xml:space="preserve"> кандидат экономических наук,</w:t>
      </w:r>
      <w:r w:rsidR="000600C7">
        <w:rPr>
          <w:rFonts w:ascii="Times New Roman" w:hAnsi="Times New Roman" w:cs="Times New Roman"/>
          <w:sz w:val="24"/>
          <w:szCs w:val="24"/>
        </w:rPr>
        <w:t xml:space="preserve"> Вологодский научный центр Российской академии наук (160014, Россия, г. Вологда, ул. Горького, д. 56а; </w:t>
      </w:r>
      <w:r w:rsidR="000600C7">
        <w:rPr>
          <w:rFonts w:ascii="Times New Roman" w:hAnsi="Times New Roman" w:cs="Times New Roman"/>
          <w:sz w:val="24"/>
          <w:szCs w:val="24"/>
          <w:lang w:val="en-US"/>
        </w:rPr>
        <w:t>e</w:t>
      </w:r>
      <w:r w:rsidR="000600C7">
        <w:rPr>
          <w:rFonts w:ascii="Times New Roman" w:hAnsi="Times New Roman" w:cs="Times New Roman"/>
          <w:sz w:val="24"/>
          <w:szCs w:val="24"/>
        </w:rPr>
        <w:t>-</w:t>
      </w:r>
      <w:r w:rsidR="000600C7">
        <w:rPr>
          <w:rFonts w:ascii="Times New Roman" w:hAnsi="Times New Roman" w:cs="Times New Roman"/>
          <w:sz w:val="24"/>
          <w:szCs w:val="24"/>
          <w:lang w:val="en-US"/>
        </w:rPr>
        <w:t>mail</w:t>
      </w:r>
      <w:r w:rsidR="000600C7">
        <w:rPr>
          <w:rFonts w:ascii="Times New Roman" w:hAnsi="Times New Roman" w:cs="Times New Roman"/>
          <w:sz w:val="24"/>
          <w:szCs w:val="24"/>
        </w:rPr>
        <w:t xml:space="preserve">: </w:t>
      </w:r>
      <w:r w:rsidRPr="00850E51">
        <w:rPr>
          <w:rFonts w:ascii="Times New Roman" w:hAnsi="Times New Roman" w:cs="Times New Roman"/>
          <w:sz w:val="24"/>
          <w:szCs w:val="24"/>
        </w:rPr>
        <w:t>sekushina.isekushina@yandex.ru</w:t>
      </w:r>
      <w:r w:rsidR="000600C7" w:rsidRPr="00850E51">
        <w:rPr>
          <w:rFonts w:ascii="Times New Roman" w:hAnsi="Times New Roman" w:cs="Times New Roman"/>
          <w:sz w:val="24"/>
          <w:szCs w:val="24"/>
        </w:rPr>
        <w:t>)</w:t>
      </w:r>
    </w:p>
    <w:p w14:paraId="5F840980" w14:textId="77777777" w:rsidR="00850E51" w:rsidRPr="000F79CC" w:rsidRDefault="00850E51" w:rsidP="00850E51">
      <w:pPr>
        <w:spacing w:after="0" w:line="240" w:lineRule="auto"/>
        <w:ind w:firstLine="709"/>
        <w:jc w:val="right"/>
        <w:rPr>
          <w:rFonts w:ascii="Times New Roman" w:hAnsi="Times New Roman" w:cs="Times New Roman"/>
          <w:b/>
          <w:sz w:val="24"/>
          <w:szCs w:val="24"/>
          <w:shd w:val="clear" w:color="auto" w:fill="FFFFFF"/>
        </w:rPr>
      </w:pPr>
    </w:p>
    <w:p w14:paraId="295B4E9A" w14:textId="2EE342BD" w:rsidR="00850E51" w:rsidRPr="000F79CC" w:rsidRDefault="00850E51" w:rsidP="00850E51">
      <w:pPr>
        <w:spacing w:after="0" w:line="240" w:lineRule="auto"/>
        <w:ind w:firstLine="709"/>
        <w:jc w:val="right"/>
        <w:rPr>
          <w:rFonts w:ascii="Times New Roman" w:hAnsi="Times New Roman" w:cs="Times New Roman"/>
          <w:b/>
          <w:sz w:val="24"/>
          <w:szCs w:val="24"/>
          <w:shd w:val="clear" w:color="auto" w:fill="FFFFFF"/>
        </w:rPr>
      </w:pPr>
      <w:proofErr w:type="spellStart"/>
      <w:r w:rsidRPr="00850E51">
        <w:rPr>
          <w:rFonts w:ascii="Times New Roman" w:hAnsi="Times New Roman" w:cs="Times New Roman"/>
          <w:b/>
          <w:sz w:val="24"/>
          <w:szCs w:val="24"/>
          <w:shd w:val="clear" w:color="auto" w:fill="FFFFFF"/>
          <w:lang w:val="en-US"/>
        </w:rPr>
        <w:t>Sekushina</w:t>
      </w:r>
      <w:proofErr w:type="spellEnd"/>
      <w:r w:rsidRPr="000F79CC">
        <w:rPr>
          <w:rFonts w:ascii="Times New Roman" w:hAnsi="Times New Roman" w:cs="Times New Roman"/>
          <w:b/>
          <w:sz w:val="24"/>
          <w:szCs w:val="24"/>
          <w:shd w:val="clear" w:color="auto" w:fill="FFFFFF"/>
        </w:rPr>
        <w:t xml:space="preserve"> </w:t>
      </w:r>
      <w:r w:rsidRPr="00850E51">
        <w:rPr>
          <w:rFonts w:ascii="Times New Roman" w:hAnsi="Times New Roman" w:cs="Times New Roman"/>
          <w:b/>
          <w:sz w:val="24"/>
          <w:szCs w:val="24"/>
          <w:shd w:val="clear" w:color="auto" w:fill="FFFFFF"/>
          <w:lang w:val="en-US"/>
        </w:rPr>
        <w:t>I</w:t>
      </w:r>
      <w:r w:rsidRPr="000F79CC">
        <w:rPr>
          <w:rFonts w:ascii="Times New Roman" w:hAnsi="Times New Roman" w:cs="Times New Roman"/>
          <w:b/>
          <w:sz w:val="24"/>
          <w:szCs w:val="24"/>
          <w:shd w:val="clear" w:color="auto" w:fill="FFFFFF"/>
        </w:rPr>
        <w:t>.</w:t>
      </w:r>
      <w:r w:rsidRPr="00850E51">
        <w:rPr>
          <w:rFonts w:ascii="Times New Roman" w:hAnsi="Times New Roman" w:cs="Times New Roman"/>
          <w:b/>
          <w:sz w:val="24"/>
          <w:szCs w:val="24"/>
          <w:shd w:val="clear" w:color="auto" w:fill="FFFFFF"/>
          <w:lang w:val="en-US"/>
        </w:rPr>
        <w:t>A</w:t>
      </w:r>
      <w:r w:rsidRPr="000F79CC">
        <w:rPr>
          <w:rFonts w:ascii="Times New Roman" w:hAnsi="Times New Roman" w:cs="Times New Roman"/>
          <w:b/>
          <w:sz w:val="24"/>
          <w:szCs w:val="24"/>
          <w:shd w:val="clear" w:color="auto" w:fill="FFFFFF"/>
        </w:rPr>
        <w:t>.</w:t>
      </w:r>
    </w:p>
    <w:p w14:paraId="00885E8B" w14:textId="609A48BD" w:rsidR="006F7FCA" w:rsidRDefault="00EC7A3B">
      <w:pPr>
        <w:spacing w:after="0" w:line="240" w:lineRule="auto"/>
        <w:ind w:firstLine="709"/>
        <w:jc w:val="center"/>
        <w:rPr>
          <w:rFonts w:ascii="Times New Roman" w:hAnsi="Times New Roman" w:cs="Times New Roman"/>
          <w:b/>
          <w:bCs/>
          <w:sz w:val="24"/>
          <w:szCs w:val="24"/>
          <w:lang w:val="en-US"/>
        </w:rPr>
      </w:pPr>
      <w:r w:rsidRPr="00EC7A3B">
        <w:rPr>
          <w:rFonts w:ascii="Times New Roman" w:hAnsi="Times New Roman" w:cs="Times New Roman"/>
          <w:b/>
          <w:bCs/>
          <w:sz w:val="24"/>
          <w:szCs w:val="24"/>
          <w:lang w:val="en-US"/>
        </w:rPr>
        <w:t>LABOR MARKET OF URBAN AGGLOMERATIONS: ASSESSMENT OF BALANCE AND DIRECTION OF REGULATION</w:t>
      </w:r>
    </w:p>
    <w:p w14:paraId="19E571A6" w14:textId="77777777" w:rsidR="00EC7A3B" w:rsidRPr="00EC7A3B" w:rsidRDefault="00EC7A3B">
      <w:pPr>
        <w:spacing w:after="0" w:line="240" w:lineRule="auto"/>
        <w:ind w:firstLine="709"/>
        <w:jc w:val="center"/>
        <w:rPr>
          <w:rFonts w:ascii="Times New Roman" w:hAnsi="Times New Roman" w:cs="Times New Roman"/>
          <w:b/>
          <w:bCs/>
          <w:sz w:val="24"/>
          <w:szCs w:val="24"/>
          <w:lang w:val="en-US"/>
        </w:rPr>
      </w:pPr>
    </w:p>
    <w:p w14:paraId="3AFA8886" w14:textId="77777777" w:rsidR="00563269" w:rsidRPr="00563269" w:rsidRDefault="000600C7">
      <w:pPr>
        <w:spacing w:after="0" w:line="240" w:lineRule="auto"/>
        <w:ind w:firstLine="709"/>
        <w:jc w:val="both"/>
        <w:rPr>
          <w:rFonts w:ascii="Times New Roman" w:hAnsi="Times New Roman" w:cs="Times New Roman"/>
          <w:sz w:val="24"/>
          <w:szCs w:val="24"/>
          <w:lang w:val="en-US"/>
        </w:rPr>
      </w:pPr>
      <w:r w:rsidRPr="00563269">
        <w:rPr>
          <w:rFonts w:ascii="Times New Roman" w:hAnsi="Times New Roman" w:cs="Times New Roman"/>
          <w:b/>
          <w:sz w:val="24"/>
          <w:szCs w:val="24"/>
          <w:lang w:val="en-US"/>
        </w:rPr>
        <w:t xml:space="preserve">Abstract. </w:t>
      </w:r>
      <w:r w:rsidR="00563269" w:rsidRPr="00563269">
        <w:rPr>
          <w:rFonts w:ascii="Times New Roman" w:hAnsi="Times New Roman" w:cs="Times New Roman"/>
          <w:sz w:val="24"/>
          <w:szCs w:val="24"/>
          <w:lang w:val="en-US"/>
        </w:rPr>
        <w:t>This study presents the results of assessing the balance of the labor market in urban agglomerations of the second echelon: Vologda, Arkhangelsk, Tambov, Kaluga, Norilsk, Surgut, Khanty-</w:t>
      </w:r>
      <w:proofErr w:type="spellStart"/>
      <w:r w:rsidR="00563269" w:rsidRPr="00563269">
        <w:rPr>
          <w:rFonts w:ascii="Times New Roman" w:hAnsi="Times New Roman" w:cs="Times New Roman"/>
          <w:sz w:val="24"/>
          <w:szCs w:val="24"/>
          <w:lang w:val="en-US"/>
        </w:rPr>
        <w:t>Mansiysk</w:t>
      </w:r>
      <w:proofErr w:type="spellEnd"/>
      <w:r w:rsidR="00563269" w:rsidRPr="00563269">
        <w:rPr>
          <w:rFonts w:ascii="Times New Roman" w:hAnsi="Times New Roman" w:cs="Times New Roman"/>
          <w:sz w:val="24"/>
          <w:szCs w:val="24"/>
          <w:lang w:val="en-US"/>
        </w:rPr>
        <w:t xml:space="preserve">, </w:t>
      </w:r>
      <w:proofErr w:type="spellStart"/>
      <w:r w:rsidR="00563269" w:rsidRPr="00563269">
        <w:rPr>
          <w:rFonts w:ascii="Times New Roman" w:hAnsi="Times New Roman" w:cs="Times New Roman"/>
          <w:sz w:val="24"/>
          <w:szCs w:val="24"/>
          <w:lang w:val="en-US"/>
        </w:rPr>
        <w:t>Yuzhno-Sakhalinsk</w:t>
      </w:r>
      <w:proofErr w:type="spellEnd"/>
      <w:r w:rsidR="00563269" w:rsidRPr="00563269">
        <w:rPr>
          <w:rFonts w:ascii="Times New Roman" w:hAnsi="Times New Roman" w:cs="Times New Roman"/>
          <w:sz w:val="24"/>
          <w:szCs w:val="24"/>
          <w:lang w:val="en-US"/>
        </w:rPr>
        <w:t>. A number of directions for regulating the labor market of urban agglomerations are proposed.</w:t>
      </w:r>
    </w:p>
    <w:p w14:paraId="0B4B0B68" w14:textId="5A25DE2C" w:rsidR="00563269" w:rsidRDefault="000600C7" w:rsidP="00563269">
      <w:pPr>
        <w:spacing w:after="0" w:line="240" w:lineRule="auto"/>
        <w:ind w:firstLine="709"/>
        <w:jc w:val="both"/>
        <w:rPr>
          <w:rFonts w:ascii="Times New Roman" w:hAnsi="Times New Roman" w:cs="Times New Roman"/>
          <w:sz w:val="24"/>
          <w:szCs w:val="24"/>
          <w:lang w:val="en-US"/>
        </w:rPr>
      </w:pPr>
      <w:r w:rsidRPr="00563269">
        <w:rPr>
          <w:rFonts w:ascii="Times New Roman" w:hAnsi="Times New Roman" w:cs="Times New Roman"/>
          <w:b/>
          <w:sz w:val="24"/>
          <w:szCs w:val="24"/>
          <w:lang w:val="en-US"/>
        </w:rPr>
        <w:t>Keywords:</w:t>
      </w:r>
      <w:r w:rsidRPr="00563269">
        <w:rPr>
          <w:rFonts w:ascii="Times New Roman" w:hAnsi="Times New Roman" w:cs="Times New Roman"/>
          <w:sz w:val="24"/>
          <w:szCs w:val="24"/>
          <w:lang w:val="en-US"/>
        </w:rPr>
        <w:t xml:space="preserve"> </w:t>
      </w:r>
      <w:r w:rsidR="00563269" w:rsidRPr="00563269">
        <w:rPr>
          <w:rFonts w:ascii="Times New Roman" w:hAnsi="Times New Roman" w:cs="Times New Roman"/>
          <w:sz w:val="24"/>
          <w:szCs w:val="24"/>
          <w:lang w:val="en-US"/>
        </w:rPr>
        <w:t>urban agglomeration, labor market, labor supply and demand, agglomeration processes, labor market regulation</w:t>
      </w:r>
      <w:r w:rsidR="000F79CC" w:rsidRPr="000F79CC">
        <w:rPr>
          <w:rFonts w:ascii="Times New Roman" w:hAnsi="Times New Roman" w:cs="Times New Roman"/>
          <w:sz w:val="24"/>
          <w:szCs w:val="24"/>
          <w:lang w:val="en-US"/>
        </w:rPr>
        <w:t>.</w:t>
      </w:r>
      <w:r w:rsidR="00563269" w:rsidRPr="00563269">
        <w:rPr>
          <w:rFonts w:ascii="Times New Roman" w:hAnsi="Times New Roman" w:cs="Times New Roman"/>
          <w:sz w:val="24"/>
          <w:szCs w:val="24"/>
          <w:lang w:val="en-US"/>
        </w:rPr>
        <w:t xml:space="preserve"> </w:t>
      </w:r>
    </w:p>
    <w:p w14:paraId="3E24F5AA" w14:textId="77777777" w:rsidR="00563269" w:rsidRDefault="00563269" w:rsidP="00563269">
      <w:pPr>
        <w:spacing w:after="0" w:line="240" w:lineRule="auto"/>
        <w:ind w:firstLine="709"/>
        <w:jc w:val="center"/>
        <w:rPr>
          <w:rFonts w:ascii="Times New Roman" w:hAnsi="Times New Roman" w:cs="Times New Roman"/>
          <w:b/>
          <w:bCs/>
          <w:sz w:val="24"/>
          <w:szCs w:val="24"/>
          <w:lang w:val="en-US"/>
        </w:rPr>
      </w:pPr>
    </w:p>
    <w:p w14:paraId="36BD5ADC" w14:textId="07114F89" w:rsidR="006F7FCA" w:rsidRDefault="000600C7" w:rsidP="00563269">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14:paraId="195379D6" w14:textId="31156537" w:rsidR="006F7FCA" w:rsidRDefault="00EC7A3B">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b/>
          <w:bCs/>
          <w:sz w:val="24"/>
          <w:szCs w:val="24"/>
          <w:lang w:val="en-US"/>
        </w:rPr>
        <w:t>Sekushina</w:t>
      </w:r>
      <w:proofErr w:type="spellEnd"/>
      <w:r w:rsidR="000600C7">
        <w:rPr>
          <w:rFonts w:ascii="Times New Roman" w:hAnsi="Times New Roman" w:cs="Times New Roman"/>
          <w:b/>
          <w:bCs/>
          <w:sz w:val="24"/>
          <w:szCs w:val="24"/>
          <w:lang w:val="en-US"/>
        </w:rPr>
        <w:t xml:space="preserve"> Irina </w:t>
      </w:r>
      <w:proofErr w:type="spellStart"/>
      <w:r>
        <w:rPr>
          <w:rFonts w:ascii="Times New Roman" w:hAnsi="Times New Roman" w:cs="Times New Roman"/>
          <w:b/>
          <w:bCs/>
          <w:sz w:val="24"/>
          <w:szCs w:val="24"/>
          <w:lang w:val="en-US"/>
        </w:rPr>
        <w:t>Anatol</w:t>
      </w:r>
      <w:r w:rsidR="000600C7">
        <w:rPr>
          <w:rFonts w:ascii="Times New Roman" w:hAnsi="Times New Roman" w:cs="Times New Roman"/>
          <w:b/>
          <w:bCs/>
          <w:sz w:val="24"/>
          <w:szCs w:val="24"/>
          <w:lang w:val="en-US"/>
        </w:rPr>
        <w:t>evna</w:t>
      </w:r>
      <w:proofErr w:type="spellEnd"/>
      <w:r w:rsidR="000600C7">
        <w:rPr>
          <w:rFonts w:ascii="Times New Roman" w:hAnsi="Times New Roman" w:cs="Times New Roman"/>
          <w:b/>
          <w:bCs/>
          <w:sz w:val="24"/>
          <w:szCs w:val="24"/>
          <w:lang w:val="en-US"/>
        </w:rPr>
        <w:t xml:space="preserve"> (Russia, Vologda)</w:t>
      </w:r>
      <w:r w:rsidR="000600C7">
        <w:rPr>
          <w:rFonts w:ascii="Times New Roman" w:hAnsi="Times New Roman" w:cs="Times New Roman"/>
          <w:sz w:val="24"/>
          <w:szCs w:val="24"/>
          <w:lang w:val="en-US"/>
        </w:rPr>
        <w:t xml:space="preserve"> - </w:t>
      </w:r>
      <w:r w:rsidRPr="00EC7A3B">
        <w:rPr>
          <w:rFonts w:ascii="Times New Roman" w:hAnsi="Times New Roman" w:cs="Times New Roman"/>
          <w:sz w:val="24"/>
          <w:szCs w:val="24"/>
          <w:lang w:val="en-US"/>
        </w:rPr>
        <w:t>Senior Researcher, Candidate of Economic Sciences</w:t>
      </w:r>
      <w:r w:rsidR="000600C7">
        <w:rPr>
          <w:rFonts w:ascii="Times New Roman" w:hAnsi="Times New Roman" w:cs="Times New Roman"/>
          <w:sz w:val="24"/>
          <w:szCs w:val="24"/>
          <w:lang w:val="en-US"/>
        </w:rPr>
        <w:t>, Federal State Budgetary Institution of Science Vologda Research Center of the Russian Academy of Sciences (</w:t>
      </w:r>
      <w:proofErr w:type="spellStart"/>
      <w:r w:rsidR="000600C7">
        <w:rPr>
          <w:rFonts w:ascii="Times New Roman" w:hAnsi="Times New Roman" w:cs="Times New Roman"/>
          <w:sz w:val="24"/>
          <w:szCs w:val="24"/>
          <w:lang w:val="en-US"/>
        </w:rPr>
        <w:t>VolSC</w:t>
      </w:r>
      <w:proofErr w:type="spellEnd"/>
      <w:r w:rsidR="000600C7">
        <w:rPr>
          <w:rFonts w:ascii="Times New Roman" w:hAnsi="Times New Roman" w:cs="Times New Roman"/>
          <w:sz w:val="24"/>
          <w:szCs w:val="24"/>
          <w:lang w:val="en-US"/>
        </w:rPr>
        <w:t xml:space="preserve"> RAS) (Russia, 160014, Vologda, Gorky Str., 56a, e-mail: </w:t>
      </w:r>
      <w:r w:rsidRPr="00EC7A3B">
        <w:rPr>
          <w:rFonts w:ascii="Times New Roman" w:hAnsi="Times New Roman" w:cs="Times New Roman"/>
          <w:sz w:val="24"/>
          <w:szCs w:val="24"/>
          <w:lang w:val="en-US"/>
        </w:rPr>
        <w:t>sekushina.isekushina@yandex.ru</w:t>
      </w:r>
      <w:r w:rsidR="000600C7">
        <w:rPr>
          <w:rFonts w:ascii="Times New Roman" w:hAnsi="Times New Roman" w:cs="Times New Roman"/>
          <w:sz w:val="24"/>
          <w:szCs w:val="24"/>
          <w:lang w:val="en-US"/>
        </w:rPr>
        <w:t>)</w:t>
      </w:r>
    </w:p>
    <w:p w14:paraId="05F41285" w14:textId="77777777" w:rsidR="00563269" w:rsidRDefault="00563269">
      <w:pPr>
        <w:spacing w:after="0" w:line="240" w:lineRule="auto"/>
        <w:jc w:val="center"/>
        <w:rPr>
          <w:rFonts w:ascii="Times New Roman" w:hAnsi="Times New Roman" w:cs="Times New Roman"/>
          <w:b/>
          <w:sz w:val="24"/>
          <w:szCs w:val="24"/>
          <w:lang w:val="en-US"/>
        </w:rPr>
      </w:pPr>
    </w:p>
    <w:p w14:paraId="6ABA9966" w14:textId="2AF14BC2" w:rsidR="006F7FCA" w:rsidRDefault="000600C7">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77F95BF9"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t>1. Antonov E.V. (2020). Labor markets of urban agglomerations in Russia // Regional Studies. No. 2. pp. 88-100. DOI: 10.5922/1994-5280-2020-2-7</w:t>
      </w:r>
    </w:p>
    <w:p w14:paraId="344A674E"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t>2. Bugaev M.A. (2015). Pendulum migration in the labor market of St. Petersburg and the Leningrad region // Bulletin of St. Petersburg University. Economics. Vol. 4. pp. 86-116.</w:t>
      </w:r>
    </w:p>
    <w:p w14:paraId="2569DAF4"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t>3. Voroshilov N.V. (2021). Development of urban agglomerations in the European North of Russia // Federalism. Vol. 26, No. 4(104). pp. 54-74. DOI: 10.21686/2073-1051-2021-4-54-74.</w:t>
      </w:r>
    </w:p>
    <w:p w14:paraId="69017E48"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t xml:space="preserve">4. </w:t>
      </w:r>
      <w:proofErr w:type="spellStart"/>
      <w:r w:rsidRPr="00E930E1">
        <w:rPr>
          <w:rFonts w:ascii="Times New Roman" w:hAnsi="Times New Roman" w:cs="Times New Roman"/>
          <w:bCs/>
          <w:iCs/>
          <w:sz w:val="24"/>
          <w:szCs w:val="24"/>
          <w:shd w:val="clear" w:color="auto" w:fill="FFFFFF"/>
          <w:lang w:val="en-US"/>
        </w:rPr>
        <w:t>Okrepilov</w:t>
      </w:r>
      <w:proofErr w:type="spellEnd"/>
      <w:r w:rsidRPr="00E930E1">
        <w:rPr>
          <w:rFonts w:ascii="Times New Roman" w:hAnsi="Times New Roman" w:cs="Times New Roman"/>
          <w:bCs/>
          <w:iCs/>
          <w:sz w:val="24"/>
          <w:szCs w:val="24"/>
          <w:shd w:val="clear" w:color="auto" w:fill="FFFFFF"/>
          <w:lang w:val="en-US"/>
        </w:rPr>
        <w:t xml:space="preserve"> V.V., </w:t>
      </w:r>
      <w:proofErr w:type="spellStart"/>
      <w:r w:rsidRPr="00E930E1">
        <w:rPr>
          <w:rFonts w:ascii="Times New Roman" w:hAnsi="Times New Roman" w:cs="Times New Roman"/>
          <w:bCs/>
          <w:iCs/>
          <w:sz w:val="24"/>
          <w:szCs w:val="24"/>
          <w:shd w:val="clear" w:color="auto" w:fill="FFFFFF"/>
          <w:lang w:val="en-US"/>
        </w:rPr>
        <w:t>Korshunov</w:t>
      </w:r>
      <w:proofErr w:type="spellEnd"/>
      <w:r w:rsidRPr="00E930E1">
        <w:rPr>
          <w:rFonts w:ascii="Times New Roman" w:hAnsi="Times New Roman" w:cs="Times New Roman"/>
          <w:bCs/>
          <w:iCs/>
          <w:sz w:val="24"/>
          <w:szCs w:val="24"/>
          <w:shd w:val="clear" w:color="auto" w:fill="FFFFFF"/>
          <w:lang w:val="en-US"/>
        </w:rPr>
        <w:t xml:space="preserve"> I.V. (2024). Management of agglomeration development in the context of multiple competing goals: tasks and solutions // Economic and social changes: facts, trends, forecast. Vol. 17. No. 1. pp. 60-78. DOI: 10.15838/esc.2024.1.91.3</w:t>
      </w:r>
    </w:p>
    <w:p w14:paraId="79568078"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t xml:space="preserve">5. </w:t>
      </w:r>
      <w:proofErr w:type="spellStart"/>
      <w:r w:rsidRPr="00E930E1">
        <w:rPr>
          <w:rFonts w:ascii="Times New Roman" w:hAnsi="Times New Roman" w:cs="Times New Roman"/>
          <w:bCs/>
          <w:iCs/>
          <w:sz w:val="24"/>
          <w:szCs w:val="24"/>
          <w:shd w:val="clear" w:color="auto" w:fill="FFFFFF"/>
          <w:lang w:val="en-US"/>
        </w:rPr>
        <w:t>Sekushina</w:t>
      </w:r>
      <w:proofErr w:type="spellEnd"/>
      <w:r w:rsidRPr="00E930E1">
        <w:rPr>
          <w:rFonts w:ascii="Times New Roman" w:hAnsi="Times New Roman" w:cs="Times New Roman"/>
          <w:bCs/>
          <w:iCs/>
          <w:sz w:val="24"/>
          <w:szCs w:val="24"/>
          <w:shd w:val="clear" w:color="auto" w:fill="FFFFFF"/>
          <w:lang w:val="en-US"/>
        </w:rPr>
        <w:t xml:space="preserve"> I.A. Labor market of urban agglomerations: state and problems of development // Labor economics. 2024. Vol. 11, No. 4. pp. 525-548. DOI 10.18334/et.11.4.120814.</w:t>
      </w:r>
    </w:p>
    <w:p w14:paraId="068B8684"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t xml:space="preserve">6. </w:t>
      </w:r>
      <w:proofErr w:type="spellStart"/>
      <w:r w:rsidRPr="00E930E1">
        <w:rPr>
          <w:rFonts w:ascii="Times New Roman" w:hAnsi="Times New Roman" w:cs="Times New Roman"/>
          <w:bCs/>
          <w:iCs/>
          <w:sz w:val="24"/>
          <w:szCs w:val="24"/>
          <w:shd w:val="clear" w:color="auto" w:fill="FFFFFF"/>
          <w:lang w:val="en-US"/>
        </w:rPr>
        <w:t>Simonova</w:t>
      </w:r>
      <w:proofErr w:type="spellEnd"/>
      <w:r w:rsidRPr="00E930E1">
        <w:rPr>
          <w:rFonts w:ascii="Times New Roman" w:hAnsi="Times New Roman" w:cs="Times New Roman"/>
          <w:bCs/>
          <w:iCs/>
          <w:sz w:val="24"/>
          <w:szCs w:val="24"/>
          <w:shd w:val="clear" w:color="auto" w:fill="FFFFFF"/>
          <w:lang w:val="en-US"/>
        </w:rPr>
        <w:t xml:space="preserve"> M.V., </w:t>
      </w:r>
      <w:proofErr w:type="spellStart"/>
      <w:r w:rsidRPr="00E930E1">
        <w:rPr>
          <w:rFonts w:ascii="Times New Roman" w:hAnsi="Times New Roman" w:cs="Times New Roman"/>
          <w:bCs/>
          <w:iCs/>
          <w:sz w:val="24"/>
          <w:szCs w:val="24"/>
          <w:shd w:val="clear" w:color="auto" w:fill="FFFFFF"/>
          <w:lang w:val="en-US"/>
        </w:rPr>
        <w:t>Chistik</w:t>
      </w:r>
      <w:proofErr w:type="spellEnd"/>
      <w:r w:rsidRPr="00E930E1">
        <w:rPr>
          <w:rFonts w:ascii="Times New Roman" w:hAnsi="Times New Roman" w:cs="Times New Roman"/>
          <w:bCs/>
          <w:iCs/>
          <w:sz w:val="24"/>
          <w:szCs w:val="24"/>
          <w:shd w:val="clear" w:color="auto" w:fill="FFFFFF"/>
          <w:lang w:val="en-US"/>
        </w:rPr>
        <w:t xml:space="preserve"> O.F. (2015). Demographic aspects of the formation of the labor potential of the Samara-Tolyatti agglomeration // Bulletin of the Samara State University of Economics.  No. 5 (127). pp. 55-58.</w:t>
      </w:r>
    </w:p>
    <w:p w14:paraId="31B42070"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t xml:space="preserve">7. </w:t>
      </w:r>
      <w:proofErr w:type="spellStart"/>
      <w:r w:rsidRPr="00E930E1">
        <w:rPr>
          <w:rFonts w:ascii="Times New Roman" w:hAnsi="Times New Roman" w:cs="Times New Roman"/>
          <w:bCs/>
          <w:iCs/>
          <w:sz w:val="24"/>
          <w:szCs w:val="24"/>
          <w:shd w:val="clear" w:color="auto" w:fill="FFFFFF"/>
          <w:lang w:val="en-US"/>
        </w:rPr>
        <w:t>Fauser</w:t>
      </w:r>
      <w:proofErr w:type="spellEnd"/>
      <w:r w:rsidRPr="00E930E1">
        <w:rPr>
          <w:rFonts w:ascii="Times New Roman" w:hAnsi="Times New Roman" w:cs="Times New Roman"/>
          <w:bCs/>
          <w:iCs/>
          <w:sz w:val="24"/>
          <w:szCs w:val="24"/>
          <w:shd w:val="clear" w:color="auto" w:fill="FFFFFF"/>
          <w:lang w:val="en-US"/>
        </w:rPr>
        <w:t xml:space="preserve"> V.V., Smirnov A.V., </w:t>
      </w:r>
      <w:proofErr w:type="spellStart"/>
      <w:r w:rsidRPr="00E930E1">
        <w:rPr>
          <w:rFonts w:ascii="Times New Roman" w:hAnsi="Times New Roman" w:cs="Times New Roman"/>
          <w:bCs/>
          <w:iCs/>
          <w:sz w:val="24"/>
          <w:szCs w:val="24"/>
          <w:shd w:val="clear" w:color="auto" w:fill="FFFFFF"/>
          <w:lang w:val="en-US"/>
        </w:rPr>
        <w:t>Lytkina</w:t>
      </w:r>
      <w:proofErr w:type="spellEnd"/>
      <w:r w:rsidRPr="00E930E1">
        <w:rPr>
          <w:rFonts w:ascii="Times New Roman" w:hAnsi="Times New Roman" w:cs="Times New Roman"/>
          <w:bCs/>
          <w:iCs/>
          <w:sz w:val="24"/>
          <w:szCs w:val="24"/>
          <w:shd w:val="clear" w:color="auto" w:fill="FFFFFF"/>
          <w:lang w:val="en-US"/>
        </w:rPr>
        <w:t xml:space="preserve"> T.S., </w:t>
      </w:r>
      <w:proofErr w:type="spellStart"/>
      <w:r w:rsidRPr="00E930E1">
        <w:rPr>
          <w:rFonts w:ascii="Times New Roman" w:hAnsi="Times New Roman" w:cs="Times New Roman"/>
          <w:bCs/>
          <w:iCs/>
          <w:sz w:val="24"/>
          <w:szCs w:val="24"/>
          <w:shd w:val="clear" w:color="auto" w:fill="FFFFFF"/>
          <w:lang w:val="en-US"/>
        </w:rPr>
        <w:t>Fauser</w:t>
      </w:r>
      <w:proofErr w:type="spellEnd"/>
      <w:r w:rsidRPr="00E930E1">
        <w:rPr>
          <w:rFonts w:ascii="Times New Roman" w:hAnsi="Times New Roman" w:cs="Times New Roman"/>
          <w:bCs/>
          <w:iCs/>
          <w:sz w:val="24"/>
          <w:szCs w:val="24"/>
          <w:shd w:val="clear" w:color="auto" w:fill="FFFFFF"/>
          <w:lang w:val="en-US"/>
        </w:rPr>
        <w:t xml:space="preserve"> G.N. (2021). Urban agglomerations in the settlement system of the North of Russia // Economic and social changes: facts, trends, </w:t>
      </w:r>
      <w:proofErr w:type="gramStart"/>
      <w:r w:rsidRPr="00E930E1">
        <w:rPr>
          <w:rFonts w:ascii="Times New Roman" w:hAnsi="Times New Roman" w:cs="Times New Roman"/>
          <w:bCs/>
          <w:iCs/>
          <w:sz w:val="24"/>
          <w:szCs w:val="24"/>
          <w:shd w:val="clear" w:color="auto" w:fill="FFFFFF"/>
          <w:lang w:val="en-US"/>
        </w:rPr>
        <w:t>forecast..</w:t>
      </w:r>
      <w:proofErr w:type="gramEnd"/>
      <w:r w:rsidRPr="00E930E1">
        <w:rPr>
          <w:rFonts w:ascii="Times New Roman" w:hAnsi="Times New Roman" w:cs="Times New Roman"/>
          <w:bCs/>
          <w:iCs/>
          <w:sz w:val="24"/>
          <w:szCs w:val="24"/>
          <w:shd w:val="clear" w:color="auto" w:fill="FFFFFF"/>
          <w:lang w:val="en-US"/>
        </w:rPr>
        <w:t xml:space="preserve"> Vol. 14. No. 4. pp. 77-96. DOI: 10.15838/esc.2021.4.76.5</w:t>
      </w:r>
    </w:p>
    <w:p w14:paraId="664D4226" w14:textId="77777777" w:rsidR="00E930E1" w:rsidRPr="00E930E1" w:rsidRDefault="00E930E1" w:rsidP="00E930E1">
      <w:pPr>
        <w:spacing w:after="0" w:line="240" w:lineRule="auto"/>
        <w:ind w:firstLine="709"/>
        <w:jc w:val="both"/>
        <w:rPr>
          <w:rFonts w:ascii="Times New Roman" w:hAnsi="Times New Roman" w:cs="Times New Roman"/>
          <w:bCs/>
          <w:iCs/>
          <w:sz w:val="24"/>
          <w:szCs w:val="24"/>
          <w:shd w:val="clear" w:color="auto" w:fill="FFFFFF"/>
          <w:lang w:val="en-US"/>
        </w:rPr>
      </w:pPr>
      <w:r w:rsidRPr="00E930E1">
        <w:rPr>
          <w:rFonts w:ascii="Times New Roman" w:hAnsi="Times New Roman" w:cs="Times New Roman"/>
          <w:bCs/>
          <w:iCs/>
          <w:sz w:val="24"/>
          <w:szCs w:val="24"/>
          <w:shd w:val="clear" w:color="auto" w:fill="FFFFFF"/>
          <w:lang w:val="en-US"/>
        </w:rPr>
        <w:lastRenderedPageBreak/>
        <w:t xml:space="preserve">8. Duguay E., </w:t>
      </w:r>
      <w:proofErr w:type="spellStart"/>
      <w:r w:rsidRPr="00E930E1">
        <w:rPr>
          <w:rFonts w:ascii="Times New Roman" w:hAnsi="Times New Roman" w:cs="Times New Roman"/>
          <w:bCs/>
          <w:iCs/>
          <w:sz w:val="24"/>
          <w:szCs w:val="24"/>
          <w:shd w:val="clear" w:color="auto" w:fill="FFFFFF"/>
          <w:lang w:val="en-US"/>
        </w:rPr>
        <w:t>L'horty</w:t>
      </w:r>
      <w:proofErr w:type="spellEnd"/>
      <w:r w:rsidRPr="00E930E1">
        <w:rPr>
          <w:rFonts w:ascii="Times New Roman" w:hAnsi="Times New Roman" w:cs="Times New Roman"/>
          <w:bCs/>
          <w:iCs/>
          <w:sz w:val="24"/>
          <w:szCs w:val="24"/>
          <w:shd w:val="clear" w:color="auto" w:fill="FFFFFF"/>
          <w:lang w:val="en-US"/>
        </w:rPr>
        <w:t xml:space="preserve"> Y., Sari F. (2023). The impact of agglomeration and unemployment on employment: data from France. Articles in the journal Regional Science, 102 (1), 129-166. https://doi.org/10.1111/pirs.12718</w:t>
      </w:r>
    </w:p>
    <w:p w14:paraId="405CEF1D" w14:textId="3CEFA75D" w:rsidR="006F7FCA" w:rsidRDefault="00E930E1" w:rsidP="00E930E1">
      <w:pPr>
        <w:spacing w:after="0" w:line="240" w:lineRule="auto"/>
        <w:ind w:firstLine="709"/>
        <w:jc w:val="both"/>
      </w:pPr>
      <w:r w:rsidRPr="00E930E1">
        <w:rPr>
          <w:rFonts w:ascii="Times New Roman" w:hAnsi="Times New Roman" w:cs="Times New Roman"/>
          <w:bCs/>
          <w:iCs/>
          <w:sz w:val="24"/>
          <w:szCs w:val="24"/>
          <w:shd w:val="clear" w:color="auto" w:fill="FFFFFF"/>
          <w:lang w:val="en-US"/>
        </w:rPr>
        <w:t xml:space="preserve">9. </w:t>
      </w:r>
      <w:proofErr w:type="spellStart"/>
      <w:r w:rsidRPr="00E930E1">
        <w:rPr>
          <w:rFonts w:ascii="Times New Roman" w:hAnsi="Times New Roman" w:cs="Times New Roman"/>
          <w:bCs/>
          <w:iCs/>
          <w:sz w:val="24"/>
          <w:szCs w:val="24"/>
          <w:shd w:val="clear" w:color="auto" w:fill="FFFFFF"/>
          <w:lang w:val="en-US"/>
        </w:rPr>
        <w:t>Mitze</w:t>
      </w:r>
      <w:proofErr w:type="spellEnd"/>
      <w:r w:rsidRPr="00E930E1">
        <w:rPr>
          <w:rFonts w:ascii="Times New Roman" w:hAnsi="Times New Roman" w:cs="Times New Roman"/>
          <w:bCs/>
          <w:iCs/>
          <w:sz w:val="24"/>
          <w:szCs w:val="24"/>
          <w:shd w:val="clear" w:color="auto" w:fill="FFFFFF"/>
          <w:lang w:val="en-US"/>
        </w:rPr>
        <w:t xml:space="preserve"> T., Schmidt T. D. (2015). Internal migration, regional labor markets and the role of the economy of agglomerations. Annals of Regional Science, 55, 61-101.</w:t>
      </w:r>
    </w:p>
    <w:sectPr w:rsidR="006F7FCA">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7B2755" w14:textId="77777777" w:rsidR="00621A07" w:rsidRDefault="00621A07">
      <w:pPr>
        <w:spacing w:after="0" w:line="240" w:lineRule="auto"/>
      </w:pPr>
      <w:r>
        <w:separator/>
      </w:r>
    </w:p>
  </w:endnote>
  <w:endnote w:type="continuationSeparator" w:id="0">
    <w:p w14:paraId="776D2560" w14:textId="77777777" w:rsidR="00621A07" w:rsidRDefault="00621A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0680874"/>
      <w:docPartObj>
        <w:docPartGallery w:val="Page Numbers (Bottom of Page)"/>
        <w:docPartUnique/>
      </w:docPartObj>
    </w:sdtPr>
    <w:sdtEndPr/>
    <w:sdtContent>
      <w:p w14:paraId="5DDAD048" w14:textId="6105330F" w:rsidR="00B91C98" w:rsidRDefault="00B91C98">
        <w:pPr>
          <w:pStyle w:val="ad"/>
          <w:jc w:val="center"/>
        </w:pPr>
        <w:r>
          <w:fldChar w:fldCharType="begin"/>
        </w:r>
        <w:r>
          <w:instrText>PAGE   \* MERGEFORMAT</w:instrText>
        </w:r>
        <w:r>
          <w:fldChar w:fldCharType="separate"/>
        </w:r>
        <w:r>
          <w:t>2</w:t>
        </w:r>
        <w:r>
          <w:fldChar w:fldCharType="end"/>
        </w:r>
      </w:p>
    </w:sdtContent>
  </w:sdt>
  <w:p w14:paraId="1502B252" w14:textId="77777777" w:rsidR="00B91C98" w:rsidRDefault="00B91C98">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29EF15" w14:textId="77777777" w:rsidR="00621A07" w:rsidRDefault="00621A07">
      <w:pPr>
        <w:spacing w:after="0" w:line="240" w:lineRule="auto"/>
      </w:pPr>
      <w:r>
        <w:separator/>
      </w:r>
    </w:p>
  </w:footnote>
  <w:footnote w:type="continuationSeparator" w:id="0">
    <w:p w14:paraId="301F77A8" w14:textId="77777777" w:rsidR="00621A07" w:rsidRDefault="00621A07">
      <w:pPr>
        <w:spacing w:after="0" w:line="240" w:lineRule="auto"/>
      </w:pPr>
      <w:r>
        <w:continuationSeparator/>
      </w:r>
    </w:p>
  </w:footnote>
  <w:footnote w:id="1">
    <w:p w14:paraId="27B0D505" w14:textId="021DC4A9" w:rsidR="00724549" w:rsidRPr="00724549" w:rsidRDefault="00724549">
      <w:pPr>
        <w:pStyle w:val="afb"/>
      </w:pPr>
      <w:r>
        <w:rPr>
          <w:rStyle w:val="afd"/>
        </w:rPr>
        <w:footnoteRef/>
      </w:r>
      <w:r>
        <w:t xml:space="preserve"> </w:t>
      </w:r>
      <w:r w:rsidRPr="00724549">
        <w:t xml:space="preserve">Исследование выполнено за счет гранта Российского научного фонда № 23-78-10054, </w:t>
      </w:r>
      <w:hyperlink r:id="rId1" w:history="1">
        <w:r w:rsidRPr="00945509">
          <w:rPr>
            <w:rStyle w:val="af0"/>
          </w:rPr>
          <w:t>https://rscf.ru/project/23-78-10054/</w:t>
        </w:r>
      </w:hyperlink>
      <w:r w:rsidRPr="00724549">
        <w:t xml:space="preserve"> </w:t>
      </w:r>
    </w:p>
  </w:footnote>
  <w:footnote w:id="2">
    <w:p w14:paraId="19A3E815" w14:textId="291BFA13" w:rsidR="00724549" w:rsidRDefault="00724549">
      <w:pPr>
        <w:pStyle w:val="afb"/>
      </w:pPr>
      <w:r>
        <w:rPr>
          <w:rStyle w:val="afd"/>
        </w:rPr>
        <w:footnoteRef/>
      </w:r>
      <w:r>
        <w:t xml:space="preserve"> </w:t>
      </w:r>
      <w:r w:rsidRPr="00724549">
        <w:t>Приказ Министерства экономического развития РФ от 26 сентября 2023 г. № 669 «Об утверждении Методических рекомендаций по разработке долгосрочных планов социально-экономического развития крупных и крупнейших городских агломераций»</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D32CF"/>
    <w:multiLevelType w:val="hybridMultilevel"/>
    <w:tmpl w:val="B5EE076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15:restartNumberingAfterBreak="0">
    <w:nsid w:val="1AB24EB8"/>
    <w:multiLevelType w:val="hybridMultilevel"/>
    <w:tmpl w:val="4F249782"/>
    <w:lvl w:ilvl="0" w:tplc="E83AB3C4">
      <w:start w:val="1"/>
      <w:numFmt w:val="decimal"/>
      <w:lvlText w:val="%1."/>
      <w:lvlJc w:val="left"/>
      <w:pPr>
        <w:ind w:left="1418" w:hanging="360"/>
      </w:pPr>
    </w:lvl>
    <w:lvl w:ilvl="1" w:tplc="FBFA2828">
      <w:start w:val="1"/>
      <w:numFmt w:val="lowerLetter"/>
      <w:lvlText w:val="%2."/>
      <w:lvlJc w:val="left"/>
      <w:pPr>
        <w:ind w:left="2138" w:hanging="360"/>
      </w:pPr>
    </w:lvl>
    <w:lvl w:ilvl="2" w:tplc="D8304794">
      <w:start w:val="1"/>
      <w:numFmt w:val="lowerRoman"/>
      <w:lvlText w:val="%3."/>
      <w:lvlJc w:val="right"/>
      <w:pPr>
        <w:ind w:left="2858" w:hanging="180"/>
      </w:pPr>
    </w:lvl>
    <w:lvl w:ilvl="3" w:tplc="89EC87AA">
      <w:start w:val="1"/>
      <w:numFmt w:val="decimal"/>
      <w:lvlText w:val="%4."/>
      <w:lvlJc w:val="left"/>
      <w:pPr>
        <w:ind w:left="3578" w:hanging="360"/>
      </w:pPr>
    </w:lvl>
    <w:lvl w:ilvl="4" w:tplc="0E041F30">
      <w:start w:val="1"/>
      <w:numFmt w:val="lowerLetter"/>
      <w:lvlText w:val="%5."/>
      <w:lvlJc w:val="left"/>
      <w:pPr>
        <w:ind w:left="4298" w:hanging="360"/>
      </w:pPr>
    </w:lvl>
    <w:lvl w:ilvl="5" w:tplc="D66ED652">
      <w:start w:val="1"/>
      <w:numFmt w:val="lowerRoman"/>
      <w:lvlText w:val="%6."/>
      <w:lvlJc w:val="right"/>
      <w:pPr>
        <w:ind w:left="5018" w:hanging="180"/>
      </w:pPr>
    </w:lvl>
    <w:lvl w:ilvl="6" w:tplc="97B463E4">
      <w:start w:val="1"/>
      <w:numFmt w:val="decimal"/>
      <w:lvlText w:val="%7."/>
      <w:lvlJc w:val="left"/>
      <w:pPr>
        <w:ind w:left="5738" w:hanging="360"/>
      </w:pPr>
    </w:lvl>
    <w:lvl w:ilvl="7" w:tplc="82E27ADC">
      <w:start w:val="1"/>
      <w:numFmt w:val="lowerLetter"/>
      <w:lvlText w:val="%8."/>
      <w:lvlJc w:val="left"/>
      <w:pPr>
        <w:ind w:left="6458" w:hanging="360"/>
      </w:pPr>
    </w:lvl>
    <w:lvl w:ilvl="8" w:tplc="DCECCB4E">
      <w:start w:val="1"/>
      <w:numFmt w:val="lowerRoman"/>
      <w:lvlText w:val="%9."/>
      <w:lvlJc w:val="right"/>
      <w:pPr>
        <w:ind w:left="7178" w:hanging="180"/>
      </w:pPr>
    </w:lvl>
  </w:abstractNum>
  <w:abstractNum w:abstractNumId="2" w15:restartNumberingAfterBreak="0">
    <w:nsid w:val="29943FDC"/>
    <w:multiLevelType w:val="hybridMultilevel"/>
    <w:tmpl w:val="90F234FC"/>
    <w:lvl w:ilvl="0" w:tplc="5D2CD1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5BD53FCD"/>
    <w:multiLevelType w:val="hybridMultilevel"/>
    <w:tmpl w:val="AEA6B7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5024087"/>
    <w:multiLevelType w:val="hybridMultilevel"/>
    <w:tmpl w:val="7292DB5E"/>
    <w:lvl w:ilvl="0" w:tplc="2EF85638">
      <w:start w:val="1"/>
      <w:numFmt w:val="bullet"/>
      <w:lvlText w:val=""/>
      <w:lvlJc w:val="left"/>
      <w:pPr>
        <w:ind w:left="720" w:hanging="360"/>
      </w:pPr>
      <w:rPr>
        <w:rFonts w:ascii="Wingdings" w:hAnsi="Wingdings" w:hint="default"/>
      </w:rPr>
    </w:lvl>
    <w:lvl w:ilvl="1" w:tplc="3136345E">
      <w:start w:val="1"/>
      <w:numFmt w:val="bullet"/>
      <w:lvlText w:val="o"/>
      <w:lvlJc w:val="left"/>
      <w:pPr>
        <w:ind w:left="1440" w:hanging="360"/>
      </w:pPr>
      <w:rPr>
        <w:rFonts w:ascii="Courier New" w:hAnsi="Courier New" w:cs="Courier New" w:hint="default"/>
      </w:rPr>
    </w:lvl>
    <w:lvl w:ilvl="2" w:tplc="88A0F2E8">
      <w:start w:val="1"/>
      <w:numFmt w:val="bullet"/>
      <w:lvlText w:val=""/>
      <w:lvlJc w:val="left"/>
      <w:pPr>
        <w:ind w:left="2160" w:hanging="360"/>
      </w:pPr>
      <w:rPr>
        <w:rFonts w:ascii="Wingdings" w:hAnsi="Wingdings" w:hint="default"/>
      </w:rPr>
    </w:lvl>
    <w:lvl w:ilvl="3" w:tplc="69C88C16">
      <w:start w:val="1"/>
      <w:numFmt w:val="bullet"/>
      <w:lvlText w:val=""/>
      <w:lvlJc w:val="left"/>
      <w:pPr>
        <w:ind w:left="2880" w:hanging="360"/>
      </w:pPr>
      <w:rPr>
        <w:rFonts w:ascii="Symbol" w:hAnsi="Symbol" w:hint="default"/>
      </w:rPr>
    </w:lvl>
    <w:lvl w:ilvl="4" w:tplc="C5B42882">
      <w:start w:val="1"/>
      <w:numFmt w:val="bullet"/>
      <w:lvlText w:val="o"/>
      <w:lvlJc w:val="left"/>
      <w:pPr>
        <w:ind w:left="3600" w:hanging="360"/>
      </w:pPr>
      <w:rPr>
        <w:rFonts w:ascii="Courier New" w:hAnsi="Courier New" w:cs="Courier New" w:hint="default"/>
      </w:rPr>
    </w:lvl>
    <w:lvl w:ilvl="5" w:tplc="4C5CC46A">
      <w:start w:val="1"/>
      <w:numFmt w:val="bullet"/>
      <w:lvlText w:val=""/>
      <w:lvlJc w:val="left"/>
      <w:pPr>
        <w:ind w:left="4320" w:hanging="360"/>
      </w:pPr>
      <w:rPr>
        <w:rFonts w:ascii="Wingdings" w:hAnsi="Wingdings" w:hint="default"/>
      </w:rPr>
    </w:lvl>
    <w:lvl w:ilvl="6" w:tplc="9CA60B80">
      <w:start w:val="1"/>
      <w:numFmt w:val="bullet"/>
      <w:lvlText w:val=""/>
      <w:lvlJc w:val="left"/>
      <w:pPr>
        <w:ind w:left="5040" w:hanging="360"/>
      </w:pPr>
      <w:rPr>
        <w:rFonts w:ascii="Symbol" w:hAnsi="Symbol" w:hint="default"/>
      </w:rPr>
    </w:lvl>
    <w:lvl w:ilvl="7" w:tplc="9EC810FC">
      <w:start w:val="1"/>
      <w:numFmt w:val="bullet"/>
      <w:lvlText w:val="o"/>
      <w:lvlJc w:val="left"/>
      <w:pPr>
        <w:ind w:left="5760" w:hanging="360"/>
      </w:pPr>
      <w:rPr>
        <w:rFonts w:ascii="Courier New" w:hAnsi="Courier New" w:cs="Courier New" w:hint="default"/>
      </w:rPr>
    </w:lvl>
    <w:lvl w:ilvl="8" w:tplc="05643A76">
      <w:start w:val="1"/>
      <w:numFmt w:val="bullet"/>
      <w:lvlText w:val=""/>
      <w:lvlJc w:val="left"/>
      <w:pPr>
        <w:ind w:left="6480" w:hanging="360"/>
      </w:pPr>
      <w:rPr>
        <w:rFonts w:ascii="Wingdings" w:hAnsi="Wingdings" w:hint="default"/>
      </w:rPr>
    </w:lvl>
  </w:abstractNum>
  <w:abstractNum w:abstractNumId="5" w15:restartNumberingAfterBreak="0">
    <w:nsid w:val="6FE50469"/>
    <w:multiLevelType w:val="hybridMultilevel"/>
    <w:tmpl w:val="D9FC265E"/>
    <w:lvl w:ilvl="0" w:tplc="6CF434C2">
      <w:start w:val="1"/>
      <w:numFmt w:val="decimal"/>
      <w:lvlText w:val="%1."/>
      <w:lvlJc w:val="left"/>
      <w:pPr>
        <w:ind w:left="1417" w:hanging="360"/>
      </w:pPr>
    </w:lvl>
    <w:lvl w:ilvl="1" w:tplc="5AB424DC">
      <w:start w:val="1"/>
      <w:numFmt w:val="lowerLetter"/>
      <w:lvlText w:val="%2."/>
      <w:lvlJc w:val="left"/>
      <w:pPr>
        <w:ind w:left="2137" w:hanging="360"/>
      </w:pPr>
    </w:lvl>
    <w:lvl w:ilvl="2" w:tplc="942E48D6">
      <w:start w:val="1"/>
      <w:numFmt w:val="lowerRoman"/>
      <w:lvlText w:val="%3."/>
      <w:lvlJc w:val="right"/>
      <w:pPr>
        <w:ind w:left="2857" w:hanging="180"/>
      </w:pPr>
    </w:lvl>
    <w:lvl w:ilvl="3" w:tplc="A28C86D6">
      <w:start w:val="1"/>
      <w:numFmt w:val="decimal"/>
      <w:lvlText w:val="%4."/>
      <w:lvlJc w:val="left"/>
      <w:pPr>
        <w:ind w:left="3577" w:hanging="360"/>
      </w:pPr>
    </w:lvl>
    <w:lvl w:ilvl="4" w:tplc="38522D18">
      <w:start w:val="1"/>
      <w:numFmt w:val="lowerLetter"/>
      <w:lvlText w:val="%5."/>
      <w:lvlJc w:val="left"/>
      <w:pPr>
        <w:ind w:left="4297" w:hanging="360"/>
      </w:pPr>
    </w:lvl>
    <w:lvl w:ilvl="5" w:tplc="5DAC049C">
      <w:start w:val="1"/>
      <w:numFmt w:val="lowerRoman"/>
      <w:lvlText w:val="%6."/>
      <w:lvlJc w:val="right"/>
      <w:pPr>
        <w:ind w:left="5017" w:hanging="180"/>
      </w:pPr>
    </w:lvl>
    <w:lvl w:ilvl="6" w:tplc="1700BFC8">
      <w:start w:val="1"/>
      <w:numFmt w:val="decimal"/>
      <w:lvlText w:val="%7."/>
      <w:lvlJc w:val="left"/>
      <w:pPr>
        <w:ind w:left="5737" w:hanging="360"/>
      </w:pPr>
    </w:lvl>
    <w:lvl w:ilvl="7" w:tplc="FBA0B576">
      <w:start w:val="1"/>
      <w:numFmt w:val="lowerLetter"/>
      <w:lvlText w:val="%8."/>
      <w:lvlJc w:val="left"/>
      <w:pPr>
        <w:ind w:left="6457" w:hanging="360"/>
      </w:pPr>
    </w:lvl>
    <w:lvl w:ilvl="8" w:tplc="DDA6EB58">
      <w:start w:val="1"/>
      <w:numFmt w:val="lowerRoman"/>
      <w:lvlText w:val="%9."/>
      <w:lvlJc w:val="right"/>
      <w:pPr>
        <w:ind w:left="7177" w:hanging="180"/>
      </w:pPr>
    </w:lvl>
  </w:abstractNum>
  <w:abstractNum w:abstractNumId="6" w15:restartNumberingAfterBreak="0">
    <w:nsid w:val="784C5BFF"/>
    <w:multiLevelType w:val="hybridMultilevel"/>
    <w:tmpl w:val="07D4BEA0"/>
    <w:lvl w:ilvl="0" w:tplc="9B2C5DBE">
      <w:start w:val="1"/>
      <w:numFmt w:val="decimal"/>
      <w:lvlText w:val="%1."/>
      <w:lvlJc w:val="left"/>
      <w:pPr>
        <w:ind w:left="709" w:hanging="360"/>
      </w:pPr>
    </w:lvl>
    <w:lvl w:ilvl="1" w:tplc="DD9AFBF8">
      <w:start w:val="1"/>
      <w:numFmt w:val="lowerLetter"/>
      <w:lvlText w:val="%2."/>
      <w:lvlJc w:val="left"/>
      <w:pPr>
        <w:ind w:left="1429" w:hanging="360"/>
      </w:pPr>
    </w:lvl>
    <w:lvl w:ilvl="2" w:tplc="193C707C">
      <w:start w:val="1"/>
      <w:numFmt w:val="lowerRoman"/>
      <w:lvlText w:val="%3."/>
      <w:lvlJc w:val="right"/>
      <w:pPr>
        <w:ind w:left="2149" w:hanging="180"/>
      </w:pPr>
    </w:lvl>
    <w:lvl w:ilvl="3" w:tplc="D066881E">
      <w:start w:val="1"/>
      <w:numFmt w:val="decimal"/>
      <w:lvlText w:val="%4."/>
      <w:lvlJc w:val="left"/>
      <w:pPr>
        <w:ind w:left="2869" w:hanging="360"/>
      </w:pPr>
    </w:lvl>
    <w:lvl w:ilvl="4" w:tplc="66540AC8">
      <w:start w:val="1"/>
      <w:numFmt w:val="lowerLetter"/>
      <w:lvlText w:val="%5."/>
      <w:lvlJc w:val="left"/>
      <w:pPr>
        <w:ind w:left="3589" w:hanging="360"/>
      </w:pPr>
    </w:lvl>
    <w:lvl w:ilvl="5" w:tplc="E10AE4AE">
      <w:start w:val="1"/>
      <w:numFmt w:val="lowerRoman"/>
      <w:lvlText w:val="%6."/>
      <w:lvlJc w:val="right"/>
      <w:pPr>
        <w:ind w:left="4309" w:hanging="180"/>
      </w:pPr>
    </w:lvl>
    <w:lvl w:ilvl="6" w:tplc="9FC0FB3C">
      <w:start w:val="1"/>
      <w:numFmt w:val="decimal"/>
      <w:lvlText w:val="%7."/>
      <w:lvlJc w:val="left"/>
      <w:pPr>
        <w:ind w:left="5029" w:hanging="360"/>
      </w:pPr>
    </w:lvl>
    <w:lvl w:ilvl="7" w:tplc="C5A0081E">
      <w:start w:val="1"/>
      <w:numFmt w:val="lowerLetter"/>
      <w:lvlText w:val="%8."/>
      <w:lvlJc w:val="left"/>
      <w:pPr>
        <w:ind w:left="5749" w:hanging="360"/>
      </w:pPr>
    </w:lvl>
    <w:lvl w:ilvl="8" w:tplc="E8F6DF9C">
      <w:start w:val="1"/>
      <w:numFmt w:val="lowerRoman"/>
      <w:lvlText w:val="%9."/>
      <w:lvlJc w:val="right"/>
      <w:pPr>
        <w:ind w:left="6469" w:hanging="180"/>
      </w:pPr>
    </w:lvl>
  </w:abstractNum>
  <w:num w:numId="1">
    <w:abstractNumId w:val="4"/>
  </w:num>
  <w:num w:numId="2">
    <w:abstractNumId w:val="1"/>
  </w:num>
  <w:num w:numId="3">
    <w:abstractNumId w:val="6"/>
  </w:num>
  <w:num w:numId="4">
    <w:abstractNumId w:val="5"/>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FCA"/>
    <w:rsid w:val="000600C7"/>
    <w:rsid w:val="000F79CC"/>
    <w:rsid w:val="00563269"/>
    <w:rsid w:val="00621A07"/>
    <w:rsid w:val="006F7FCA"/>
    <w:rsid w:val="00724549"/>
    <w:rsid w:val="00757393"/>
    <w:rsid w:val="00850E51"/>
    <w:rsid w:val="00870D03"/>
    <w:rsid w:val="00A34299"/>
    <w:rsid w:val="00A75C56"/>
    <w:rsid w:val="00B0080A"/>
    <w:rsid w:val="00B91C98"/>
    <w:rsid w:val="00D41C1B"/>
    <w:rsid w:val="00E930E1"/>
    <w:rsid w:val="00EC7A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02F62"/>
  <w15:docId w15:val="{80803655-6388-4F95-A901-1145F7C82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Знак25"/>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fb"/>
    <w:uiPriority w:val="99"/>
    <w:rPr>
      <w:rFonts w:ascii="Times New Roman" w:hAnsi="Times New Roman" w:cs="Times New Roman"/>
      <w:sz w:val="20"/>
      <w:szCs w:val="20"/>
    </w:rPr>
  </w:style>
  <w:style w:type="character" w:styleId="afd">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iPriority w:val="99"/>
    <w:unhideWhenUsed/>
    <w:qFormat/>
    <w:rPr>
      <w:vertAlign w:val="superscript"/>
    </w:rPr>
  </w:style>
  <w:style w:type="character" w:styleId="afe">
    <w:name w:val="Unresolved Mention"/>
    <w:basedOn w:val="a0"/>
    <w:uiPriority w:val="99"/>
    <w:semiHidden/>
    <w:unhideWhenUsed/>
    <w:rsid w:val="00724549"/>
    <w:rPr>
      <w:color w:val="605E5C"/>
      <w:shd w:val="clear" w:color="auto" w:fill="E1DFDD"/>
    </w:rPr>
  </w:style>
  <w:style w:type="character" w:styleId="aff">
    <w:name w:val="FollowedHyperlink"/>
    <w:basedOn w:val="a0"/>
    <w:uiPriority w:val="99"/>
    <w:semiHidden/>
    <w:unhideWhenUsed/>
    <w:rsid w:val="0072454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pirs.1271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rscf.ru/project/23-78-1005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D9232-19B3-4B58-9F3E-9BED641E9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Pages>
  <Words>2135</Words>
  <Characters>12174</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Ирина А. Секушина</cp:lastModifiedBy>
  <cp:revision>6</cp:revision>
  <dcterms:created xsi:type="dcterms:W3CDTF">2025-03-24T05:03:00Z</dcterms:created>
  <dcterms:modified xsi:type="dcterms:W3CDTF">2025-03-24T06:53:00Z</dcterms:modified>
</cp:coreProperties>
</file>