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B13EC" w:rsidRPr="00AF0E60" w:rsidRDefault="00000000">
      <w:pPr>
        <w:pStyle w:val="2"/>
      </w:pPr>
      <w:r w:rsidRPr="00AF0E60">
        <w:t>УДК 3</w:t>
      </w:r>
      <w:r w:rsidR="005555A4" w:rsidRPr="00AF0E60">
        <w:t>36</w:t>
      </w:r>
      <w:r w:rsidR="00793FF9" w:rsidRPr="00AF0E60">
        <w:t>.02</w:t>
      </w:r>
      <w:r w:rsidRPr="00AF0E60">
        <w:t xml:space="preserve"> / ББК </w:t>
      </w:r>
      <w:r w:rsidR="00793FF9" w:rsidRPr="00AF0E60">
        <w:t>60.561.25</w:t>
      </w:r>
    </w:p>
    <w:p w:rsidR="001B13EC" w:rsidRPr="00AF0E60" w:rsidRDefault="005555A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F0E60">
        <w:rPr>
          <w:rFonts w:ascii="Times New Roman" w:hAnsi="Times New Roman" w:cs="Times New Roman"/>
          <w:b/>
          <w:sz w:val="24"/>
          <w:szCs w:val="24"/>
        </w:rPr>
        <w:t>Елышев Е.И.</w:t>
      </w:r>
    </w:p>
    <w:p w:rsidR="001B13EC" w:rsidRPr="00AF0E60" w:rsidRDefault="00EA261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32353867"/>
      <w:bookmarkStart w:id="1" w:name="_Hlk129337751"/>
      <w:r w:rsidRPr="00AF0E60">
        <w:rPr>
          <w:rFonts w:ascii="Times New Roman" w:hAnsi="Times New Roman" w:cs="Times New Roman"/>
          <w:b/>
          <w:bCs/>
          <w:sz w:val="24"/>
          <w:szCs w:val="24"/>
        </w:rPr>
        <w:t>ИНСТИТУТ «ЗЕЛЁНОГО ФИНАНСИРОВАНИЯ»</w:t>
      </w:r>
      <w:r w:rsidR="00AF0E60" w:rsidRPr="00AF0E60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AF0E60">
        <w:rPr>
          <w:rFonts w:ascii="Times New Roman" w:hAnsi="Times New Roman" w:cs="Times New Roman"/>
          <w:b/>
          <w:bCs/>
          <w:sz w:val="24"/>
          <w:szCs w:val="24"/>
        </w:rPr>
        <w:t xml:space="preserve"> СТРУКТУРА И ВЗГЛЯД ИНВЕСТОРОВ</w:t>
      </w:r>
      <w:bookmarkEnd w:id="0"/>
    </w:p>
    <w:p w:rsidR="001B13EC" w:rsidRPr="00AF0E60" w:rsidRDefault="001B13E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3B0BB1" w:rsidRPr="00AF0E60" w:rsidRDefault="00000000" w:rsidP="003B0BB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AF0E6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Р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ассм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атривается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 xml:space="preserve"> институт «зеленого» финансирования в взаимосвязи составляющих его элементов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 xml:space="preserve"> – «зелёных» финансовых инструментов, 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национальны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х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 xml:space="preserve"> и международны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х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 xml:space="preserve"> образовани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й, особых эко-ориентированных политических принципов.</w:t>
      </w:r>
    </w:p>
    <w:p w:rsidR="001B13EC" w:rsidRPr="00AF0E60" w:rsidRDefault="0000000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AF0E6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«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>з</w:t>
      </w:r>
      <w:r w:rsidR="003B0BB1" w:rsidRPr="00AF0E60">
        <w:rPr>
          <w:rFonts w:ascii="Times New Roman" w:hAnsi="Times New Roman" w:cs="Times New Roman"/>
          <w:bCs/>
          <w:sz w:val="24"/>
          <w:szCs w:val="24"/>
        </w:rPr>
        <w:t xml:space="preserve">елёное финансирование», «зелёная» экономика, устойчивое развитие, финансовые инструменты, финансовые институты, экология.  </w:t>
      </w:r>
    </w:p>
    <w:bookmarkEnd w:id="1"/>
    <w:p w:rsidR="001B13EC" w:rsidRPr="00AF0E60" w:rsidRDefault="001B13EC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6772BC" w:rsidRPr="00AF0E60" w:rsidRDefault="00677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Одним из т</w:t>
      </w:r>
      <w:r w:rsidR="0097436C" w:rsidRPr="00AF0E60">
        <w:rPr>
          <w:rFonts w:ascii="Times New Roman" w:hAnsi="Times New Roman" w:cs="Times New Roman"/>
          <w:sz w:val="24"/>
          <w:szCs w:val="24"/>
        </w:rPr>
        <w:t>ренд</w:t>
      </w:r>
      <w:r w:rsidRPr="00AF0E60">
        <w:rPr>
          <w:rFonts w:ascii="Times New Roman" w:hAnsi="Times New Roman" w:cs="Times New Roman"/>
          <w:sz w:val="24"/>
          <w:szCs w:val="24"/>
        </w:rPr>
        <w:t xml:space="preserve">ов </w:t>
      </w:r>
      <w:r w:rsidRPr="00AF0E60">
        <w:rPr>
          <w:rFonts w:ascii="Times New Roman" w:hAnsi="Times New Roman" w:cs="Times New Roman"/>
          <w:sz w:val="24"/>
          <w:szCs w:val="24"/>
        </w:rPr>
        <w:t>развития финансов</w:t>
      </w:r>
      <w:r w:rsidRPr="00AF0E60">
        <w:rPr>
          <w:rFonts w:ascii="Times New Roman" w:hAnsi="Times New Roman" w:cs="Times New Roman"/>
          <w:sz w:val="24"/>
          <w:szCs w:val="24"/>
        </w:rPr>
        <w:t>ых</w:t>
      </w:r>
      <w:r w:rsidRPr="00AF0E60">
        <w:rPr>
          <w:rFonts w:ascii="Times New Roman" w:hAnsi="Times New Roman" w:cs="Times New Roman"/>
          <w:sz w:val="24"/>
          <w:szCs w:val="24"/>
        </w:rPr>
        <w:t xml:space="preserve"> систем</w:t>
      </w:r>
      <w:r w:rsidRPr="00AF0E60">
        <w:rPr>
          <w:rFonts w:ascii="Times New Roman" w:hAnsi="Times New Roman" w:cs="Times New Roman"/>
          <w:sz w:val="24"/>
          <w:szCs w:val="24"/>
        </w:rPr>
        <w:t xml:space="preserve"> является их «озеленение». Финансирование, направленное на 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проекты, предполагающие позитивные экологические изменения </w:t>
      </w:r>
      <w:r w:rsidRPr="00AF0E60">
        <w:rPr>
          <w:rFonts w:ascii="Times New Roman" w:hAnsi="Times New Roman" w:cs="Times New Roman"/>
          <w:sz w:val="24"/>
          <w:szCs w:val="24"/>
        </w:rPr>
        <w:t xml:space="preserve">– так называемое «зелёное финансирование» </w:t>
      </w:r>
      <w:r w:rsidRPr="00AF0E60">
        <w:rPr>
          <w:rFonts w:ascii="Times New Roman" w:hAnsi="Times New Roman" w:cs="Times New Roman"/>
          <w:sz w:val="24"/>
          <w:szCs w:val="24"/>
        </w:rPr>
        <w:t>–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признаётся важным способом поддержки </w:t>
      </w:r>
      <w:r w:rsidR="0048240E" w:rsidRPr="00AF0E60">
        <w:rPr>
          <w:rFonts w:ascii="Times New Roman" w:hAnsi="Times New Roman" w:cs="Times New Roman"/>
          <w:sz w:val="24"/>
          <w:szCs w:val="24"/>
        </w:rPr>
        <w:t>политик</w:t>
      </w:r>
      <w:r w:rsidR="0048240E" w:rsidRPr="00AF0E60">
        <w:rPr>
          <w:rFonts w:ascii="Times New Roman" w:hAnsi="Times New Roman" w:cs="Times New Roman"/>
          <w:sz w:val="24"/>
          <w:szCs w:val="24"/>
        </w:rPr>
        <w:t>и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Устойчивого развития </w:t>
      </w:r>
      <w:r w:rsidR="0048240E" w:rsidRPr="00AF0E60">
        <w:rPr>
          <w:rFonts w:ascii="Times New Roman" w:hAnsi="Times New Roman" w:cs="Times New Roman"/>
          <w:sz w:val="24"/>
          <w:szCs w:val="24"/>
        </w:rPr>
        <w:t>[</w:t>
      </w:r>
      <w:r w:rsidR="00ED1042" w:rsidRPr="00AF0E60">
        <w:rPr>
          <w:rFonts w:ascii="Times New Roman" w:hAnsi="Times New Roman" w:cs="Times New Roman"/>
          <w:sz w:val="24"/>
          <w:szCs w:val="24"/>
        </w:rPr>
        <w:t>10</w:t>
      </w:r>
      <w:r w:rsidR="0048240E" w:rsidRPr="00AF0E60">
        <w:rPr>
          <w:rFonts w:ascii="Times New Roman" w:hAnsi="Times New Roman" w:cs="Times New Roman"/>
          <w:sz w:val="24"/>
          <w:szCs w:val="24"/>
        </w:rPr>
        <w:t>, с. 4].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Данная концепция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предполагает гармоничную реализацию </w:t>
      </w:r>
      <w:r w:rsidR="0048240E" w:rsidRPr="00AF0E60">
        <w:rPr>
          <w:rFonts w:ascii="Times New Roman" w:hAnsi="Times New Roman" w:cs="Times New Roman"/>
          <w:sz w:val="24"/>
          <w:szCs w:val="24"/>
        </w:rPr>
        <w:t>экономическ</w:t>
      </w:r>
      <w:r w:rsidR="0048240E" w:rsidRPr="00AF0E60">
        <w:rPr>
          <w:rFonts w:ascii="Times New Roman" w:hAnsi="Times New Roman" w:cs="Times New Roman"/>
          <w:sz w:val="24"/>
          <w:szCs w:val="24"/>
        </w:rPr>
        <w:t>их</w:t>
      </w:r>
      <w:r w:rsidR="0048240E" w:rsidRPr="00AF0E60">
        <w:rPr>
          <w:rFonts w:ascii="Times New Roman" w:hAnsi="Times New Roman" w:cs="Times New Roman"/>
          <w:sz w:val="24"/>
          <w:szCs w:val="24"/>
        </w:rPr>
        <w:t>, социальн</w:t>
      </w:r>
      <w:r w:rsidR="0048240E" w:rsidRPr="00AF0E60">
        <w:rPr>
          <w:rFonts w:ascii="Times New Roman" w:hAnsi="Times New Roman" w:cs="Times New Roman"/>
          <w:sz w:val="24"/>
          <w:szCs w:val="24"/>
        </w:rPr>
        <w:t>ых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и экологическ</w:t>
      </w:r>
      <w:r w:rsidR="0048240E" w:rsidRPr="00AF0E60">
        <w:rPr>
          <w:rFonts w:ascii="Times New Roman" w:hAnsi="Times New Roman" w:cs="Times New Roman"/>
          <w:sz w:val="24"/>
          <w:szCs w:val="24"/>
        </w:rPr>
        <w:t>их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программ, котор</w:t>
      </w:r>
      <w:r w:rsidR="0048240E" w:rsidRPr="00AF0E60">
        <w:rPr>
          <w:rFonts w:ascii="Times New Roman" w:hAnsi="Times New Roman" w:cs="Times New Roman"/>
          <w:sz w:val="24"/>
          <w:szCs w:val="24"/>
        </w:rPr>
        <w:t>ые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«удовлетворяют потребностям настоящего времени, но не ставят под угрозу способность будущих поколений удовлетворять свои собственные потребности» [</w:t>
      </w:r>
      <w:r w:rsidR="00ED1042" w:rsidRPr="00AF0E60">
        <w:rPr>
          <w:rFonts w:ascii="Times New Roman" w:hAnsi="Times New Roman" w:cs="Times New Roman"/>
          <w:sz w:val="24"/>
          <w:szCs w:val="24"/>
        </w:rPr>
        <w:t>1</w:t>
      </w:r>
      <w:r w:rsidR="0048240E" w:rsidRPr="00AF0E60">
        <w:rPr>
          <w:rFonts w:ascii="Times New Roman" w:hAnsi="Times New Roman" w:cs="Times New Roman"/>
          <w:sz w:val="24"/>
          <w:szCs w:val="24"/>
        </w:rPr>
        <w:t>, с. 4].</w:t>
      </w:r>
    </w:p>
    <w:p w:rsidR="0048240E" w:rsidRPr="00AF0E60" w:rsidRDefault="00482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Актуальность «зелёного финансирования» и политики Устойчивого развития обусловлена губительными для окружающей среды п</w:t>
      </w:r>
      <w:r w:rsidRPr="00AF0E60">
        <w:rPr>
          <w:rFonts w:ascii="Times New Roman" w:hAnsi="Times New Roman" w:cs="Times New Roman"/>
          <w:sz w:val="24"/>
          <w:szCs w:val="24"/>
        </w:rPr>
        <w:t>оследствия</w:t>
      </w:r>
      <w:r w:rsidRPr="00AF0E60">
        <w:rPr>
          <w:rFonts w:ascii="Times New Roman" w:hAnsi="Times New Roman" w:cs="Times New Roman"/>
          <w:sz w:val="24"/>
          <w:szCs w:val="24"/>
        </w:rPr>
        <w:t>ми</w:t>
      </w:r>
      <w:r w:rsidRPr="00AF0E60">
        <w:rPr>
          <w:rFonts w:ascii="Times New Roman" w:hAnsi="Times New Roman" w:cs="Times New Roman"/>
          <w:sz w:val="24"/>
          <w:szCs w:val="24"/>
        </w:rPr>
        <w:t xml:space="preserve"> человеческой деятельности</w:t>
      </w:r>
      <w:r w:rsidRPr="00AF0E60">
        <w:rPr>
          <w:rFonts w:ascii="Times New Roman" w:hAnsi="Times New Roman" w:cs="Times New Roman"/>
          <w:sz w:val="24"/>
          <w:szCs w:val="24"/>
        </w:rPr>
        <w:t>. Пере-э</w:t>
      </w:r>
      <w:r w:rsidRPr="00AF0E60">
        <w:rPr>
          <w:rFonts w:ascii="Times New Roman" w:hAnsi="Times New Roman" w:cs="Times New Roman"/>
          <w:sz w:val="24"/>
          <w:szCs w:val="24"/>
        </w:rPr>
        <w:t>ксплуатация природного капитала</w:t>
      </w:r>
      <w:r w:rsidRPr="00AF0E60">
        <w:rPr>
          <w:rFonts w:ascii="Times New Roman" w:hAnsi="Times New Roman" w:cs="Times New Roman"/>
          <w:sz w:val="24"/>
          <w:szCs w:val="24"/>
        </w:rPr>
        <w:t xml:space="preserve"> в</w:t>
      </w:r>
      <w:r w:rsidRPr="00AF0E60">
        <w:rPr>
          <w:rFonts w:ascii="Times New Roman" w:hAnsi="Times New Roman" w:cs="Times New Roman"/>
          <w:sz w:val="24"/>
          <w:szCs w:val="24"/>
        </w:rPr>
        <w:t>ед</w:t>
      </w:r>
      <w:r w:rsidRPr="00AF0E60">
        <w:rPr>
          <w:rFonts w:ascii="Times New Roman" w:hAnsi="Times New Roman" w:cs="Times New Roman"/>
          <w:sz w:val="24"/>
          <w:szCs w:val="24"/>
        </w:rPr>
        <w:t>ё</w:t>
      </w:r>
      <w:r w:rsidRPr="00AF0E60">
        <w:rPr>
          <w:rFonts w:ascii="Times New Roman" w:hAnsi="Times New Roman" w:cs="Times New Roman"/>
          <w:sz w:val="24"/>
          <w:szCs w:val="24"/>
        </w:rPr>
        <w:t xml:space="preserve">т к </w:t>
      </w:r>
      <w:r w:rsidRPr="00AF0E60">
        <w:rPr>
          <w:rFonts w:ascii="Times New Roman" w:hAnsi="Times New Roman" w:cs="Times New Roman"/>
          <w:sz w:val="24"/>
          <w:szCs w:val="24"/>
        </w:rPr>
        <w:t>таким проблемам как</w:t>
      </w:r>
      <w:r w:rsidRPr="00AF0E60">
        <w:rPr>
          <w:rFonts w:ascii="Times New Roman" w:hAnsi="Times New Roman" w:cs="Times New Roman"/>
          <w:sz w:val="24"/>
          <w:szCs w:val="24"/>
        </w:rPr>
        <w:t xml:space="preserve"> снижение биоразнообразия, исчерпа</w:t>
      </w:r>
      <w:r w:rsidRPr="00AF0E60">
        <w:rPr>
          <w:rFonts w:ascii="Times New Roman" w:hAnsi="Times New Roman" w:cs="Times New Roman"/>
          <w:sz w:val="24"/>
          <w:szCs w:val="24"/>
        </w:rPr>
        <w:t>ние</w:t>
      </w:r>
      <w:r w:rsidRPr="00AF0E60">
        <w:rPr>
          <w:rFonts w:ascii="Times New Roman" w:hAnsi="Times New Roman" w:cs="Times New Roman"/>
          <w:sz w:val="24"/>
          <w:szCs w:val="24"/>
        </w:rPr>
        <w:t xml:space="preserve"> природных ресурсов</w:t>
      </w:r>
      <w:r w:rsidR="00780FF4" w:rsidRPr="00AF0E60">
        <w:rPr>
          <w:rFonts w:ascii="Times New Roman" w:hAnsi="Times New Roman" w:cs="Times New Roman"/>
          <w:sz w:val="24"/>
          <w:szCs w:val="24"/>
        </w:rPr>
        <w:t>, сказывается на здоровье и жизни людей в целом.</w:t>
      </w:r>
    </w:p>
    <w:p w:rsidR="0048240E" w:rsidRPr="00AF0E60" w:rsidRDefault="00780FF4" w:rsidP="00482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Концепция «устойчивого развития», противопоставляемая </w:t>
      </w:r>
      <w:r w:rsidRPr="00AF0E60">
        <w:rPr>
          <w:rFonts w:ascii="Times New Roman" w:hAnsi="Times New Roman" w:cs="Times New Roman"/>
          <w:sz w:val="24"/>
          <w:szCs w:val="24"/>
        </w:rPr>
        <w:t>неспособност</w:t>
      </w:r>
      <w:r w:rsidRPr="00AF0E60">
        <w:rPr>
          <w:rFonts w:ascii="Times New Roman" w:hAnsi="Times New Roman" w:cs="Times New Roman"/>
          <w:sz w:val="24"/>
          <w:szCs w:val="24"/>
        </w:rPr>
        <w:t>и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</w:rPr>
        <w:t xml:space="preserve">завязанного на антропоцентризме </w:t>
      </w:r>
      <w:r w:rsidRPr="00AF0E60">
        <w:rPr>
          <w:rFonts w:ascii="Times New Roman" w:hAnsi="Times New Roman" w:cs="Times New Roman"/>
          <w:sz w:val="24"/>
          <w:szCs w:val="24"/>
        </w:rPr>
        <w:t>рыночного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</w:rPr>
        <w:t>подхода обеспечить долгосрочн</w:t>
      </w:r>
      <w:r w:rsidRPr="00AF0E60">
        <w:rPr>
          <w:rFonts w:ascii="Times New Roman" w:hAnsi="Times New Roman" w:cs="Times New Roman"/>
          <w:sz w:val="24"/>
          <w:szCs w:val="24"/>
        </w:rPr>
        <w:t>ый</w:t>
      </w:r>
      <w:r w:rsidRPr="00AF0E60">
        <w:rPr>
          <w:rFonts w:ascii="Times New Roman" w:hAnsi="Times New Roman" w:cs="Times New Roman"/>
          <w:sz w:val="24"/>
          <w:szCs w:val="24"/>
        </w:rPr>
        <w:t xml:space="preserve"> рост качества жизни населения</w:t>
      </w:r>
      <w:r w:rsidRPr="00AF0E60">
        <w:rPr>
          <w:rFonts w:ascii="Times New Roman" w:hAnsi="Times New Roman" w:cs="Times New Roman"/>
          <w:sz w:val="24"/>
          <w:szCs w:val="24"/>
        </w:rPr>
        <w:t xml:space="preserve"> планеты, б</w:t>
      </w:r>
      <w:r w:rsidRPr="00AF0E60">
        <w:rPr>
          <w:rFonts w:ascii="Times New Roman" w:hAnsi="Times New Roman" w:cs="Times New Roman"/>
          <w:sz w:val="24"/>
          <w:szCs w:val="24"/>
        </w:rPr>
        <w:t>ыла сформулирована ООН в 1987 году</w:t>
      </w:r>
      <w:r w:rsidRPr="00AF0E60">
        <w:rPr>
          <w:rFonts w:ascii="Times New Roman" w:hAnsi="Times New Roman" w:cs="Times New Roman"/>
          <w:sz w:val="24"/>
          <w:szCs w:val="24"/>
        </w:rPr>
        <w:t xml:space="preserve">. Цели устойчивого развития в течение лет корректировались. 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В 2015 году Генеральной ассамблеей ООН был </w:t>
      </w:r>
      <w:r w:rsidRPr="00AF0E60">
        <w:rPr>
          <w:rFonts w:ascii="Times New Roman" w:hAnsi="Times New Roman" w:cs="Times New Roman"/>
          <w:sz w:val="24"/>
          <w:szCs w:val="24"/>
        </w:rPr>
        <w:t>принят актуальный на сегодняшний день список</w:t>
      </w:r>
      <w:r w:rsidR="00223546" w:rsidRPr="00AF0E60">
        <w:rPr>
          <w:rFonts w:ascii="Times New Roman" w:hAnsi="Times New Roman" w:cs="Times New Roman"/>
          <w:sz w:val="24"/>
          <w:szCs w:val="24"/>
        </w:rPr>
        <w:t xml:space="preserve"> целей, среди которых </w:t>
      </w:r>
      <w:r w:rsidR="0048240E" w:rsidRPr="00AF0E60">
        <w:rPr>
          <w:rFonts w:ascii="Times New Roman" w:hAnsi="Times New Roman" w:cs="Times New Roman"/>
          <w:sz w:val="24"/>
          <w:szCs w:val="24"/>
        </w:rPr>
        <w:t>борьб</w:t>
      </w:r>
      <w:r w:rsidR="00223546" w:rsidRPr="00AF0E60">
        <w:rPr>
          <w:rFonts w:ascii="Times New Roman" w:hAnsi="Times New Roman" w:cs="Times New Roman"/>
          <w:sz w:val="24"/>
          <w:szCs w:val="24"/>
        </w:rPr>
        <w:t>а</w:t>
      </w:r>
      <w:r w:rsidR="0048240E" w:rsidRPr="00AF0E60">
        <w:rPr>
          <w:rFonts w:ascii="Times New Roman" w:hAnsi="Times New Roman" w:cs="Times New Roman"/>
          <w:sz w:val="24"/>
          <w:szCs w:val="24"/>
        </w:rPr>
        <w:t xml:space="preserve"> с изменением климата, сохранение экосистем воды и суши</w:t>
      </w:r>
      <w:r w:rsidR="00223546" w:rsidRPr="00AF0E60">
        <w:rPr>
          <w:rFonts w:ascii="Times New Roman" w:hAnsi="Times New Roman" w:cs="Times New Roman"/>
          <w:sz w:val="24"/>
          <w:szCs w:val="24"/>
        </w:rPr>
        <w:t xml:space="preserve"> и др</w:t>
      </w:r>
      <w:r w:rsidR="0048240E" w:rsidRPr="00AF0E60">
        <w:rPr>
          <w:rFonts w:ascii="Times New Roman" w:hAnsi="Times New Roman" w:cs="Times New Roman"/>
          <w:sz w:val="24"/>
          <w:szCs w:val="24"/>
        </w:rPr>
        <w:t>.</w:t>
      </w:r>
    </w:p>
    <w:p w:rsidR="0048240E" w:rsidRPr="00AF0E60" w:rsidRDefault="0048240E" w:rsidP="00482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С целью уменьшения глобальных выбросов парниковых газов и ограничения повышения глобальной температуры в 2016 году в рамках Рамочной конвенции Организации Объединенных Наций об изменении климата было подписано Парижское соглашение, направленное на ограничение глобального потепления в этом столетии до 2 градусов Цельсия, в перспективе – до 1,5 градуса [</w:t>
      </w:r>
      <w:r w:rsidR="00ED1042" w:rsidRPr="00AF0E60">
        <w:rPr>
          <w:rFonts w:ascii="Times New Roman" w:hAnsi="Times New Roman" w:cs="Times New Roman"/>
          <w:sz w:val="24"/>
          <w:szCs w:val="24"/>
        </w:rPr>
        <w:t>2</w:t>
      </w:r>
      <w:r w:rsidRPr="00AF0E60">
        <w:rPr>
          <w:rFonts w:ascii="Times New Roman" w:hAnsi="Times New Roman" w:cs="Times New Roman"/>
          <w:sz w:val="24"/>
          <w:szCs w:val="24"/>
        </w:rPr>
        <w:t>]. Документ был подписан 196 сторонами, которые обязались поддерживать друг друга.</w:t>
      </w:r>
    </w:p>
    <w:p w:rsidR="0048240E" w:rsidRPr="00AF0E60" w:rsidRDefault="0048240E" w:rsidP="00482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В конце 2019 года Еврокомиссией был принят ряд политических инициатив под названием «Зелёный пакт для Европы». Цель пакта состоит в борьбе с глобальным потеплением и загрязнением окружающей среды, достижении Европейским союзом климатического (или углеродного) нейтралитета к 2050 году [</w:t>
      </w:r>
      <w:r w:rsidR="00ED1042" w:rsidRPr="00AF0E60">
        <w:rPr>
          <w:rFonts w:ascii="Times New Roman" w:hAnsi="Times New Roman" w:cs="Times New Roman"/>
          <w:sz w:val="24"/>
          <w:szCs w:val="24"/>
        </w:rPr>
        <w:t>11</w:t>
      </w:r>
      <w:r w:rsidRPr="00AF0E60">
        <w:rPr>
          <w:rFonts w:ascii="Times New Roman" w:hAnsi="Times New Roman" w:cs="Times New Roman"/>
          <w:sz w:val="24"/>
          <w:szCs w:val="24"/>
        </w:rPr>
        <w:t>, с. 187]. Европейская комиссия обязалась мобилизовать не менее 1 трлн. евро в течение этого десятилетия. Около 30% многолетнего бюджета Европейского союза на период с 2021 по 2028 год было выделено на «зеленые» инвестиции и инструменты программы по устранению последствий пандемии.</w:t>
      </w:r>
    </w:p>
    <w:p w:rsidR="0048240E" w:rsidRPr="00AF0E60" w:rsidRDefault="0048240E" w:rsidP="0048240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Тем не менее, существует «огромный разрыв между размером фактических вложений и существующей потребностью в «зеленых» инвестициях: в частности, для стран ЕС в 2020 г. инвестиционный дисбаланс только в энергетической отрасли оценивался в 500 млн евро» [</w:t>
      </w:r>
      <w:r w:rsidR="00ED1042" w:rsidRPr="00AF0E60">
        <w:rPr>
          <w:rFonts w:ascii="Times New Roman" w:hAnsi="Times New Roman" w:cs="Times New Roman"/>
          <w:sz w:val="24"/>
          <w:szCs w:val="24"/>
        </w:rPr>
        <w:t>3</w:t>
      </w:r>
      <w:r w:rsidRPr="00AF0E60">
        <w:rPr>
          <w:rFonts w:ascii="Times New Roman" w:hAnsi="Times New Roman" w:cs="Times New Roman"/>
          <w:sz w:val="24"/>
          <w:szCs w:val="24"/>
        </w:rPr>
        <w:t xml:space="preserve">, с. 75]. Для мобилизации </w:t>
      </w:r>
      <w:r w:rsidR="00FE484D" w:rsidRPr="00AF0E60">
        <w:rPr>
          <w:rFonts w:ascii="Times New Roman" w:hAnsi="Times New Roman" w:cs="Times New Roman"/>
          <w:sz w:val="24"/>
          <w:szCs w:val="24"/>
        </w:rPr>
        <w:t xml:space="preserve">требуемых </w:t>
      </w:r>
      <w:r w:rsidR="00FE484D" w:rsidRPr="00AF0E60">
        <w:rPr>
          <w:rFonts w:ascii="Times New Roman" w:hAnsi="Times New Roman" w:cs="Times New Roman"/>
          <w:sz w:val="24"/>
          <w:szCs w:val="24"/>
        </w:rPr>
        <w:t>финансовых ресурсов</w:t>
      </w:r>
      <w:r w:rsidR="00FE484D"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</w:rPr>
        <w:t>разрабатываются инструменты «зеленого финансирования».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Существующие в научном дискурсе определения «зелёного финансирования» разнятся. Часть авторов использует его синонимично понятию «климатическое </w:t>
      </w:r>
      <w:r w:rsidRPr="00AF0E60">
        <w:rPr>
          <w:rFonts w:ascii="Times New Roman" w:hAnsi="Times New Roman" w:cs="Times New Roman"/>
          <w:sz w:val="24"/>
          <w:szCs w:val="24"/>
        </w:rPr>
        <w:lastRenderedPageBreak/>
        <w:t>финансирование», хотя оно, на самом деле, шире и сосредотачивается не только на мерах по смягчению последствий изменений климата и адаптации к ним [</w:t>
      </w:r>
      <w:r w:rsidR="00ED1042" w:rsidRPr="00AF0E60">
        <w:rPr>
          <w:rFonts w:ascii="Times New Roman" w:hAnsi="Times New Roman" w:cs="Times New Roman"/>
          <w:sz w:val="24"/>
          <w:szCs w:val="24"/>
        </w:rPr>
        <w:t>8</w:t>
      </w:r>
      <w:r w:rsidRPr="00AF0E60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Нередко «зелёное финансирование» отождествляется с «зелёными» инвестициями [</w:t>
      </w:r>
      <w:r w:rsidR="00ED1042" w:rsidRPr="00AF0E60">
        <w:rPr>
          <w:rFonts w:ascii="Times New Roman" w:hAnsi="Times New Roman" w:cs="Times New Roman"/>
          <w:sz w:val="24"/>
          <w:szCs w:val="24"/>
        </w:rPr>
        <w:t>7</w:t>
      </w:r>
      <w:r w:rsidRPr="00AF0E60">
        <w:rPr>
          <w:rFonts w:ascii="Times New Roman" w:hAnsi="Times New Roman" w:cs="Times New Roman"/>
          <w:sz w:val="24"/>
          <w:szCs w:val="24"/>
        </w:rPr>
        <w:t xml:space="preserve">, с. 7]. Однако, S.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Zadek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 и C.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Flynn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 указывают на то, что термин «зелёные инвестиции», в отличие от «зелёного финансирования», как правило, не включает в себя сопутствующие расходы на инфраструктурный переход от традиционной энергии к «зелёной» [</w:t>
      </w:r>
      <w:r w:rsidR="00ED1042" w:rsidRPr="00AF0E60">
        <w:rPr>
          <w:rFonts w:ascii="Times New Roman" w:hAnsi="Times New Roman" w:cs="Times New Roman"/>
          <w:sz w:val="24"/>
          <w:szCs w:val="24"/>
        </w:rPr>
        <w:t>14</w:t>
      </w:r>
      <w:r w:rsidRPr="00AF0E60">
        <w:rPr>
          <w:rFonts w:ascii="Times New Roman" w:hAnsi="Times New Roman" w:cs="Times New Roman"/>
          <w:sz w:val="24"/>
          <w:szCs w:val="24"/>
        </w:rPr>
        <w:t>, с. 8]. По мнению исследователей, рассматриваемый термин шире и в этом случае.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В целом, можно сказать, что авторы в своих трактовках «зелёного финансирования» едины относительно финансового вклада в проекты, преследующие позитивные экологические изменения, или проекты в области экономики устойчивого развития.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На наш взгляд, наиболее комплексное определение рассматриваемого термина было выдвинуто И.А. Строгановой и Л.И. Стефанович в их работе «Финансовые инструменты «зеленого» финансирования». Там авторы по результатам анализа существующей литературы пишут следующее: «это вид финансирования, ориентированного на будущее, который одновременно преследует развитие финансовой индустрии, улучшение окружающей среды и экономический рост»; «это инвестиции, которые способствуют получению экологических выгод, развитию устойчивости окружающей среды; усилия по учету экологических факторов и корректировка восприятия рисков в целях увеличения экологически чистых инвестиций» [</w:t>
      </w:r>
      <w:r w:rsidR="00ED1042" w:rsidRPr="00AF0E60">
        <w:rPr>
          <w:rFonts w:ascii="Times New Roman" w:hAnsi="Times New Roman" w:cs="Times New Roman"/>
          <w:sz w:val="24"/>
          <w:szCs w:val="24"/>
        </w:rPr>
        <w:t>4</w:t>
      </w:r>
      <w:r w:rsidRPr="00AF0E60">
        <w:rPr>
          <w:rFonts w:ascii="Times New Roman" w:hAnsi="Times New Roman" w:cs="Times New Roman"/>
          <w:sz w:val="24"/>
          <w:szCs w:val="24"/>
        </w:rPr>
        <w:t xml:space="preserve">, с. 240]. 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В свою очередь,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AF0E60">
        <w:rPr>
          <w:rFonts w:ascii="Times New Roman" w:hAnsi="Times New Roman" w:cs="Times New Roman"/>
          <w:sz w:val="24"/>
          <w:szCs w:val="24"/>
        </w:rPr>
        <w:t xml:space="preserve">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Martin</w:t>
      </w:r>
      <w:r w:rsidRPr="00AF0E60">
        <w:rPr>
          <w:rFonts w:ascii="Times New Roman" w:hAnsi="Times New Roman" w:cs="Times New Roman"/>
          <w:sz w:val="24"/>
          <w:szCs w:val="24"/>
        </w:rPr>
        <w:t xml:space="preserve"> подчёркивает, что «зелёное финансирование», необходимое для достижения Целей устойчивого развития, включает в свою структуру некоторые обязательные элементы</w:t>
      </w:r>
      <w:r w:rsidR="008006EB" w:rsidRPr="00AF0E60">
        <w:rPr>
          <w:rFonts w:ascii="Times New Roman" w:hAnsi="Times New Roman" w:cs="Times New Roman"/>
          <w:sz w:val="24"/>
          <w:szCs w:val="24"/>
        </w:rPr>
        <w:t>. Среди них</w:t>
      </w:r>
      <w:r w:rsidRPr="00AF0E60">
        <w:rPr>
          <w:rFonts w:ascii="Times New Roman" w:hAnsi="Times New Roman" w:cs="Times New Roman"/>
          <w:sz w:val="24"/>
          <w:szCs w:val="24"/>
        </w:rPr>
        <w:t xml:space="preserve"> «зеленые» финансовые инструменты, «зеленые» финансовые институты, а также особую политику [</w:t>
      </w:r>
      <w:r w:rsidR="00ED1042" w:rsidRPr="00AF0E60">
        <w:rPr>
          <w:rFonts w:ascii="Times New Roman" w:hAnsi="Times New Roman" w:cs="Times New Roman"/>
          <w:sz w:val="24"/>
          <w:szCs w:val="24"/>
        </w:rPr>
        <w:t>11</w:t>
      </w:r>
      <w:r w:rsidRPr="00AF0E60">
        <w:rPr>
          <w:rFonts w:ascii="Times New Roman" w:hAnsi="Times New Roman" w:cs="Times New Roman"/>
          <w:sz w:val="24"/>
          <w:szCs w:val="24"/>
        </w:rPr>
        <w:t>, с. 189].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Ключевую роль здесь играют финансовые инструменты. Среди них можно перечислить такие, как «зелёные облигации» (один из самых перспективных инструментов, впервые выпущенный в 2007 году), «зелёные» ипотеки, кредиты, карты (по ним, например, кэшбек может автоматически перечисляться в эко-фонды) и пр. Эмитенты «зелёных» финансовых инструментов должны обеспечивать прозрачное и верифицированное использование поступающих от инвесторов средств. В противном случае, проект может считаться «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гринвошинговым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» - этим специальным термином обозначают ситуации «отмывания» репутации с помощью мнимым экологических инициатив и лозунгов. 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Важную роль в структуре «зелёного финансирования» играет такой элемент как «зеленые» финансовые институты. Это национальные и международные образования, которые катализируют, направляют и закрепляют на уровне нормативных документов и политики основные процессы «зелёной» экономики. В </w:t>
      </w:r>
      <w:r w:rsidR="00B462D9" w:rsidRPr="00AF0E60">
        <w:rPr>
          <w:rFonts w:ascii="Times New Roman" w:hAnsi="Times New Roman" w:cs="Times New Roman"/>
          <w:sz w:val="24"/>
          <w:szCs w:val="24"/>
        </w:rPr>
        <w:t xml:space="preserve">РФ </w:t>
      </w:r>
      <w:r w:rsidRPr="00AF0E60">
        <w:rPr>
          <w:rFonts w:ascii="Times New Roman" w:hAnsi="Times New Roman" w:cs="Times New Roman"/>
          <w:sz w:val="24"/>
          <w:szCs w:val="24"/>
        </w:rPr>
        <w:t xml:space="preserve">координатором </w:t>
      </w:r>
      <w:r w:rsidR="00B462D9" w:rsidRPr="00AF0E60">
        <w:rPr>
          <w:rFonts w:ascii="Times New Roman" w:hAnsi="Times New Roman" w:cs="Times New Roman"/>
          <w:sz w:val="24"/>
          <w:szCs w:val="24"/>
        </w:rPr>
        <w:t>данного типа финансирования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B462D9" w:rsidRPr="00AF0E60">
        <w:rPr>
          <w:rFonts w:ascii="Times New Roman" w:hAnsi="Times New Roman" w:cs="Times New Roman"/>
          <w:sz w:val="24"/>
          <w:szCs w:val="24"/>
        </w:rPr>
        <w:t>является</w:t>
      </w:r>
      <w:r w:rsidRPr="00AF0E60">
        <w:rPr>
          <w:rFonts w:ascii="Times New Roman" w:hAnsi="Times New Roman" w:cs="Times New Roman"/>
          <w:sz w:val="24"/>
          <w:szCs w:val="24"/>
        </w:rPr>
        <w:t xml:space="preserve"> Минэкономразвития России [</w:t>
      </w:r>
      <w:r w:rsidR="00ED1042" w:rsidRPr="00AF0E60">
        <w:rPr>
          <w:rFonts w:ascii="Times New Roman" w:hAnsi="Times New Roman" w:cs="Times New Roman"/>
          <w:sz w:val="24"/>
          <w:szCs w:val="24"/>
        </w:rPr>
        <w:t>3</w:t>
      </w:r>
      <w:r w:rsidRPr="00AF0E60">
        <w:rPr>
          <w:rFonts w:ascii="Times New Roman" w:hAnsi="Times New Roman" w:cs="Times New Roman"/>
          <w:sz w:val="24"/>
          <w:szCs w:val="24"/>
        </w:rPr>
        <w:t>, с. 79]. Методическое развитие процессов «зелёной» экономики в России координируют ВЭБ.РФ и Банк России. Условия для финансового оборота подобных финансов поддерживают Московская и СПБ биржи, банки. Верификация «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зелёности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» инструментов и информационно-аналитическое обеспечение остаётся за кредитно-рейтинговыми агентствами, экспертно-аналитическими платформами «Инфраструктура и финансы устойчивого развития», «Национальная финансовая ассоциация» [</w:t>
      </w:r>
      <w:r w:rsidR="00ED1042" w:rsidRPr="00AF0E60">
        <w:rPr>
          <w:rFonts w:ascii="Times New Roman" w:hAnsi="Times New Roman" w:cs="Times New Roman"/>
          <w:sz w:val="24"/>
          <w:szCs w:val="24"/>
        </w:rPr>
        <w:t>3</w:t>
      </w:r>
      <w:r w:rsidRPr="00AF0E60">
        <w:rPr>
          <w:rFonts w:ascii="Times New Roman" w:hAnsi="Times New Roman" w:cs="Times New Roman"/>
          <w:sz w:val="24"/>
          <w:szCs w:val="24"/>
        </w:rPr>
        <w:t xml:space="preserve">, с. 79]. </w:t>
      </w:r>
    </w:p>
    <w:p w:rsidR="00780FF4" w:rsidRPr="00AF0E60" w:rsidRDefault="00780FF4" w:rsidP="00780F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Наконец,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AF0E60">
        <w:rPr>
          <w:rFonts w:ascii="Times New Roman" w:hAnsi="Times New Roman" w:cs="Times New Roman"/>
          <w:sz w:val="24"/>
          <w:szCs w:val="24"/>
        </w:rPr>
        <w:t xml:space="preserve">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Martin</w:t>
      </w:r>
      <w:r w:rsidRPr="00AF0E60">
        <w:rPr>
          <w:rFonts w:ascii="Times New Roman" w:hAnsi="Times New Roman" w:cs="Times New Roman"/>
          <w:sz w:val="24"/>
          <w:szCs w:val="24"/>
        </w:rPr>
        <w:t xml:space="preserve"> подчёркивает важность особой эко-ориентированной политики для развития процессов «зелёной» экономики. Примером такой политики является известный принцип «Загрязнитель платит» («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Polluter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pays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»), который применяется к компаниям-производителям, чья деятельность негативно сказывается на окружающей среде, и взыскивает с них соразмерные ущербу налоги. Например, согласно канадским законам о регулировании энергетики, нефтяным компаниям предписывается платить за любые экологические последствия разливов, независимо от того, по чьей вине они произошёл [</w:t>
      </w:r>
      <w:r w:rsidR="00ED1042" w:rsidRPr="00AF0E60">
        <w:rPr>
          <w:rFonts w:ascii="Times New Roman" w:hAnsi="Times New Roman" w:cs="Times New Roman"/>
          <w:sz w:val="24"/>
          <w:szCs w:val="24"/>
        </w:rPr>
        <w:t>6</w:t>
      </w:r>
      <w:r w:rsidRPr="00AF0E60">
        <w:rPr>
          <w:rFonts w:ascii="Times New Roman" w:hAnsi="Times New Roman" w:cs="Times New Roman"/>
          <w:sz w:val="24"/>
          <w:szCs w:val="24"/>
        </w:rPr>
        <w:t>]. На глобальном политическом уровне также поднимаются вопросы дифференцированной ответственности стран, которые производят больше выбросов, и раскрытии информации, связанной с устойчивостью, в секторе финансовых услуг [</w:t>
      </w:r>
      <w:r w:rsidR="00ED1042" w:rsidRPr="00AF0E60">
        <w:rPr>
          <w:rFonts w:ascii="Times New Roman" w:hAnsi="Times New Roman" w:cs="Times New Roman"/>
          <w:sz w:val="24"/>
          <w:szCs w:val="24"/>
        </w:rPr>
        <w:t>11</w:t>
      </w:r>
      <w:r w:rsidRPr="00AF0E60">
        <w:rPr>
          <w:rFonts w:ascii="Times New Roman" w:hAnsi="Times New Roman" w:cs="Times New Roman"/>
          <w:sz w:val="24"/>
          <w:szCs w:val="24"/>
        </w:rPr>
        <w:t xml:space="preserve">, с. 191]. Такая прозрачность способствует </w:t>
      </w:r>
      <w:r w:rsidRPr="00AF0E60">
        <w:rPr>
          <w:rFonts w:ascii="Times New Roman" w:hAnsi="Times New Roman" w:cs="Times New Roman"/>
          <w:sz w:val="24"/>
          <w:szCs w:val="24"/>
        </w:rPr>
        <w:lastRenderedPageBreak/>
        <w:t>надлежащей оценке рисков и эффективному распределению «зелёных» средств, ведь без адекватного понимания складывающейся экологической обстановки эффективное «зелёное финансирование» невозможно.</w:t>
      </w:r>
    </w:p>
    <w:p w:rsidR="00EA2612" w:rsidRPr="00AF0E60" w:rsidRDefault="00780FF4" w:rsidP="00DF5D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Эмпирические исследования показывают, что всё больше инвесторов </w:t>
      </w:r>
      <w:r w:rsidR="00BF6229" w:rsidRPr="00AF0E60">
        <w:rPr>
          <w:rFonts w:ascii="Times New Roman" w:hAnsi="Times New Roman" w:cs="Times New Roman"/>
          <w:sz w:val="24"/>
          <w:szCs w:val="24"/>
        </w:rPr>
        <w:t xml:space="preserve">в последние годы </w:t>
      </w:r>
      <w:r w:rsidRPr="00AF0E60">
        <w:rPr>
          <w:rFonts w:ascii="Times New Roman" w:hAnsi="Times New Roman" w:cs="Times New Roman"/>
          <w:sz w:val="24"/>
          <w:szCs w:val="24"/>
        </w:rPr>
        <w:t>обращают внимание на «зелёные» продукты</w:t>
      </w:r>
      <w:r w:rsidR="00BF6229" w:rsidRPr="00AF0E60">
        <w:rPr>
          <w:rFonts w:ascii="Times New Roman" w:hAnsi="Times New Roman" w:cs="Times New Roman"/>
          <w:sz w:val="24"/>
          <w:szCs w:val="24"/>
        </w:rPr>
        <w:t>: согласно</w:t>
      </w:r>
      <w:r w:rsidRPr="00AF0E60">
        <w:rPr>
          <w:rFonts w:ascii="Times New Roman" w:hAnsi="Times New Roman" w:cs="Times New Roman"/>
          <w:sz w:val="24"/>
          <w:szCs w:val="24"/>
        </w:rPr>
        <w:t xml:space="preserve"> Capital Group, более 80% инвесторов рассматривали ESG-проекты [</w:t>
      </w:r>
      <w:r w:rsidR="00ED1042" w:rsidRPr="00AF0E60">
        <w:rPr>
          <w:rFonts w:ascii="Times New Roman" w:hAnsi="Times New Roman" w:cs="Times New Roman"/>
          <w:sz w:val="24"/>
          <w:szCs w:val="24"/>
        </w:rPr>
        <w:t>5</w:t>
      </w:r>
      <w:r w:rsidRPr="00AF0E60">
        <w:rPr>
          <w:rFonts w:ascii="Times New Roman" w:hAnsi="Times New Roman" w:cs="Times New Roman"/>
          <w:sz w:val="24"/>
          <w:szCs w:val="24"/>
        </w:rPr>
        <w:t xml:space="preserve">]. </w:t>
      </w:r>
      <w:r w:rsidR="00BF6229" w:rsidRPr="00AF0E60">
        <w:rPr>
          <w:rFonts w:ascii="Times New Roman" w:hAnsi="Times New Roman" w:cs="Times New Roman"/>
          <w:sz w:val="24"/>
          <w:szCs w:val="24"/>
        </w:rPr>
        <w:t xml:space="preserve">Причём по данным </w:t>
      </w:r>
      <w:r w:rsidRPr="00AF0E60">
        <w:rPr>
          <w:rFonts w:ascii="Times New Roman" w:hAnsi="Times New Roman" w:cs="Times New Roman"/>
          <w:sz w:val="24"/>
          <w:szCs w:val="24"/>
        </w:rPr>
        <w:t xml:space="preserve">I.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Sangiorgi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 и L.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Schopohl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, 79% воздержались бы </w:t>
      </w:r>
      <w:r w:rsidR="00BF6229" w:rsidRPr="00AF0E60">
        <w:rPr>
          <w:rFonts w:ascii="Times New Roman" w:hAnsi="Times New Roman" w:cs="Times New Roman"/>
          <w:sz w:val="24"/>
          <w:szCs w:val="24"/>
        </w:rPr>
        <w:t>покупки акций проектов с непрозрачной отчётностью и неубедительным экологическим эффектом</w:t>
      </w:r>
      <w:r w:rsidRPr="00AF0E60">
        <w:rPr>
          <w:rFonts w:ascii="Times New Roman" w:hAnsi="Times New Roman" w:cs="Times New Roman"/>
          <w:sz w:val="24"/>
          <w:szCs w:val="24"/>
        </w:rPr>
        <w:t xml:space="preserve"> [</w:t>
      </w:r>
      <w:r w:rsidR="00ED1042" w:rsidRPr="00AF0E60">
        <w:rPr>
          <w:rFonts w:ascii="Times New Roman" w:hAnsi="Times New Roman" w:cs="Times New Roman"/>
          <w:sz w:val="24"/>
          <w:szCs w:val="24"/>
        </w:rPr>
        <w:t>12</w:t>
      </w:r>
      <w:r w:rsidRPr="00AF0E60">
        <w:rPr>
          <w:rFonts w:ascii="Times New Roman" w:hAnsi="Times New Roman" w:cs="Times New Roman"/>
          <w:sz w:val="24"/>
          <w:szCs w:val="24"/>
        </w:rPr>
        <w:t xml:space="preserve">, </w:t>
      </w:r>
      <w:r w:rsidR="00BF6229" w:rsidRPr="00AF0E60">
        <w:rPr>
          <w:rFonts w:ascii="Times New Roman" w:hAnsi="Times New Roman" w:cs="Times New Roman"/>
          <w:sz w:val="24"/>
          <w:szCs w:val="24"/>
        </w:rPr>
        <w:t xml:space="preserve">с. </w:t>
      </w:r>
      <w:r w:rsidRPr="00AF0E60">
        <w:rPr>
          <w:rFonts w:ascii="Times New Roman" w:hAnsi="Times New Roman" w:cs="Times New Roman"/>
          <w:sz w:val="24"/>
          <w:szCs w:val="24"/>
        </w:rPr>
        <w:t>27].</w:t>
      </w:r>
      <w:r w:rsidR="00CE01C0"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EA2612" w:rsidRPr="00AF0E60">
        <w:rPr>
          <w:rFonts w:ascii="Times New Roman" w:hAnsi="Times New Roman" w:cs="Times New Roman"/>
          <w:sz w:val="24"/>
          <w:szCs w:val="24"/>
        </w:rPr>
        <w:t xml:space="preserve">Только треть инвесторов, вложившихся в «зелёные» проекты, считают, что получают </w:t>
      </w:r>
      <w:r w:rsidR="00CE01C0" w:rsidRPr="00AF0E60">
        <w:rPr>
          <w:rFonts w:ascii="Times New Roman" w:hAnsi="Times New Roman" w:cs="Times New Roman"/>
          <w:sz w:val="24"/>
          <w:szCs w:val="24"/>
        </w:rPr>
        <w:t>качественную информацию об их реализации и реальном экологическом эффекте. Более половины респондентов называют низкое</w:t>
      </w:r>
      <w:r w:rsidR="00CE01C0" w:rsidRPr="00AF0E60">
        <w:rPr>
          <w:rFonts w:ascii="Times New Roman" w:hAnsi="Times New Roman" w:cs="Times New Roman"/>
          <w:sz w:val="24"/>
          <w:szCs w:val="24"/>
        </w:rPr>
        <w:t xml:space="preserve"> качество отчётности </w:t>
      </w:r>
      <w:r w:rsidR="00CE01C0" w:rsidRPr="00AF0E60">
        <w:rPr>
          <w:rFonts w:ascii="Times New Roman" w:hAnsi="Times New Roman" w:cs="Times New Roman"/>
          <w:sz w:val="24"/>
          <w:szCs w:val="24"/>
        </w:rPr>
        <w:t>одним из</w:t>
      </w:r>
      <w:r w:rsidR="00CE01C0" w:rsidRPr="00AF0E60">
        <w:rPr>
          <w:rFonts w:ascii="Times New Roman" w:hAnsi="Times New Roman" w:cs="Times New Roman"/>
          <w:sz w:val="24"/>
          <w:szCs w:val="24"/>
        </w:rPr>
        <w:t xml:space="preserve"> главны</w:t>
      </w:r>
      <w:r w:rsidR="00CE01C0" w:rsidRPr="00AF0E60">
        <w:rPr>
          <w:rFonts w:ascii="Times New Roman" w:hAnsi="Times New Roman" w:cs="Times New Roman"/>
          <w:sz w:val="24"/>
          <w:szCs w:val="24"/>
        </w:rPr>
        <w:t>х</w:t>
      </w:r>
      <w:r w:rsidR="00CE01C0" w:rsidRPr="00AF0E60">
        <w:rPr>
          <w:rFonts w:ascii="Times New Roman" w:hAnsi="Times New Roman" w:cs="Times New Roman"/>
          <w:sz w:val="24"/>
          <w:szCs w:val="24"/>
        </w:rPr>
        <w:t xml:space="preserve"> барьер</w:t>
      </w:r>
      <w:r w:rsidR="00CE01C0" w:rsidRPr="00AF0E60">
        <w:rPr>
          <w:rFonts w:ascii="Times New Roman" w:hAnsi="Times New Roman" w:cs="Times New Roman"/>
          <w:sz w:val="24"/>
          <w:szCs w:val="24"/>
        </w:rPr>
        <w:t>ов для «зелёных» проектов.</w:t>
      </w:r>
    </w:p>
    <w:p w:rsidR="00780FF4" w:rsidRPr="00AF0E60" w:rsidRDefault="00DF5D7D" w:rsidP="00DF5D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В исследовании 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="00780FF4" w:rsidRPr="00AF0E60">
        <w:rPr>
          <w:rFonts w:ascii="Times New Roman" w:hAnsi="Times New Roman" w:cs="Times New Roman"/>
          <w:sz w:val="24"/>
          <w:szCs w:val="24"/>
        </w:rPr>
        <w:t>Siemroth</w:t>
      </w:r>
      <w:proofErr w:type="spellEnd"/>
      <w:r w:rsidR="00780FF4" w:rsidRPr="00AF0E60">
        <w:rPr>
          <w:rFonts w:ascii="Times New Roman" w:hAnsi="Times New Roman" w:cs="Times New Roman"/>
          <w:sz w:val="24"/>
          <w:szCs w:val="24"/>
        </w:rPr>
        <w:t xml:space="preserve"> и L. </w:t>
      </w:r>
      <w:proofErr w:type="spellStart"/>
      <w:r w:rsidR="00780FF4" w:rsidRPr="00AF0E60">
        <w:rPr>
          <w:rFonts w:ascii="Times New Roman" w:hAnsi="Times New Roman" w:cs="Times New Roman"/>
          <w:sz w:val="24"/>
          <w:szCs w:val="24"/>
        </w:rPr>
        <w:t>Hornuf</w:t>
      </w:r>
      <w:proofErr w:type="spellEnd"/>
      <w:r w:rsidR="00780FF4"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</w:rPr>
        <w:t>часть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 инвестор</w:t>
      </w:r>
      <w:r w:rsidRPr="00AF0E60">
        <w:rPr>
          <w:rFonts w:ascii="Times New Roman" w:hAnsi="Times New Roman" w:cs="Times New Roman"/>
          <w:sz w:val="24"/>
          <w:szCs w:val="24"/>
        </w:rPr>
        <w:t xml:space="preserve">ов даже была </w:t>
      </w:r>
      <w:r w:rsidR="00780FF4" w:rsidRPr="00AF0E60">
        <w:rPr>
          <w:rFonts w:ascii="Times New Roman" w:hAnsi="Times New Roman" w:cs="Times New Roman"/>
          <w:sz w:val="24"/>
          <w:szCs w:val="24"/>
        </w:rPr>
        <w:t>готов</w:t>
      </w:r>
      <w:r w:rsidRPr="00AF0E60">
        <w:rPr>
          <w:rFonts w:ascii="Times New Roman" w:hAnsi="Times New Roman" w:cs="Times New Roman"/>
          <w:sz w:val="24"/>
          <w:szCs w:val="24"/>
        </w:rPr>
        <w:t>а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 отказаться от более высокой доходности, если экологическая отдача от инвестиции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="00780FF4" w:rsidRPr="00AF0E60">
        <w:rPr>
          <w:rFonts w:ascii="Times New Roman" w:hAnsi="Times New Roman" w:cs="Times New Roman"/>
          <w:sz w:val="24"/>
          <w:szCs w:val="24"/>
        </w:rPr>
        <w:t>достаточно велика [</w:t>
      </w:r>
      <w:r w:rsidR="00ED1042" w:rsidRPr="00AF0E60">
        <w:rPr>
          <w:rFonts w:ascii="Times New Roman" w:hAnsi="Times New Roman" w:cs="Times New Roman"/>
          <w:sz w:val="24"/>
          <w:szCs w:val="24"/>
        </w:rPr>
        <w:t>13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, 88]. </w:t>
      </w:r>
      <w:r w:rsidRPr="00AF0E60">
        <w:rPr>
          <w:rFonts w:ascii="Times New Roman" w:hAnsi="Times New Roman" w:cs="Times New Roman"/>
          <w:sz w:val="24"/>
          <w:szCs w:val="24"/>
        </w:rPr>
        <w:t xml:space="preserve">Тем не менее, по </w:t>
      </w:r>
      <w:r w:rsidR="00780FF4" w:rsidRPr="00AF0E60">
        <w:rPr>
          <w:rFonts w:ascii="Times New Roman" w:hAnsi="Times New Roman" w:cs="Times New Roman"/>
          <w:sz w:val="24"/>
          <w:szCs w:val="24"/>
        </w:rPr>
        <w:t>данным биржи NASDAQ, в долгосрочной перспективе фонды устойчивых инвестиций в среднем достигают сопоставимой или даже лучшей финансовой прибыли, чем обычные инвестиции [</w:t>
      </w:r>
      <w:r w:rsidR="00ED1042" w:rsidRPr="00AF0E60">
        <w:rPr>
          <w:rFonts w:ascii="Times New Roman" w:hAnsi="Times New Roman" w:cs="Times New Roman"/>
          <w:sz w:val="24"/>
          <w:szCs w:val="24"/>
        </w:rPr>
        <w:t>9</w:t>
      </w:r>
      <w:r w:rsidR="00780FF4" w:rsidRPr="00AF0E60">
        <w:rPr>
          <w:rFonts w:ascii="Times New Roman" w:hAnsi="Times New Roman" w:cs="Times New Roman"/>
          <w:sz w:val="24"/>
          <w:szCs w:val="24"/>
        </w:rPr>
        <w:t xml:space="preserve">, с. 11]. </w:t>
      </w:r>
    </w:p>
    <w:p w:rsidR="001B13EC" w:rsidRPr="00AF0E60" w:rsidRDefault="00F833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Таким образом, «зелёное финансирование» — это довольно широкое понятие, представляющее собой взаимосвязь «зелёных» финансовых институтов, инструментов и политики, поддерживающей устойчивое улучшение окружающей среды. </w:t>
      </w:r>
      <w:r w:rsidR="00793FF9" w:rsidRPr="00AF0E60">
        <w:rPr>
          <w:rFonts w:ascii="Times New Roman" w:hAnsi="Times New Roman" w:cs="Times New Roman"/>
          <w:sz w:val="24"/>
          <w:szCs w:val="24"/>
        </w:rPr>
        <w:t>Д</w:t>
      </w:r>
      <w:r w:rsidRPr="00AF0E60">
        <w:rPr>
          <w:rFonts w:ascii="Times New Roman" w:hAnsi="Times New Roman" w:cs="Times New Roman"/>
          <w:sz w:val="24"/>
          <w:szCs w:val="24"/>
        </w:rPr>
        <w:t>ля государства важную роль имеет стимулирование компаний и граждан к ответственному «зелёному» инвестированию и создание для подобных инициатив благоприятной среды</w:t>
      </w:r>
      <w:r w:rsidR="00000000" w:rsidRPr="00AF0E6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B13EC" w:rsidRPr="00AF0E60" w:rsidRDefault="001B13E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B13EC" w:rsidRPr="00AF0E60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E60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1. </w:t>
      </w:r>
      <w:r w:rsidRPr="00AF0E60">
        <w:rPr>
          <w:rFonts w:ascii="Times New Roman" w:hAnsi="Times New Roman" w:cs="Times New Roman"/>
          <w:sz w:val="24"/>
          <w:szCs w:val="24"/>
        </w:rPr>
        <w:t>Зеленые финансы: повестка дня для России // Экспертный совет по рынку долгосрочных инвестиций при Банке России. Рабочая группа по вопросам ответственного финансирования (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finance</w:t>
      </w:r>
      <w:r w:rsidRPr="00AF0E60">
        <w:rPr>
          <w:rFonts w:ascii="Times New Roman" w:hAnsi="Times New Roman" w:cs="Times New Roman"/>
          <w:sz w:val="24"/>
          <w:szCs w:val="24"/>
        </w:rPr>
        <w:t xml:space="preserve">), в т. ч. «зеленого» финансирования.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AF0E60">
        <w:rPr>
          <w:rFonts w:ascii="Times New Roman" w:hAnsi="Times New Roman" w:cs="Times New Roman"/>
          <w:sz w:val="24"/>
          <w:szCs w:val="24"/>
        </w:rPr>
        <w:t>://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AF0E6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cbr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Content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Document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File</w:t>
      </w:r>
      <w:r w:rsidRPr="00AF0E60">
        <w:rPr>
          <w:rFonts w:ascii="Times New Roman" w:hAnsi="Times New Roman" w:cs="Times New Roman"/>
          <w:sz w:val="24"/>
          <w:szCs w:val="24"/>
        </w:rPr>
        <w:t>/51270/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diagnostic</w:t>
      </w:r>
      <w:r w:rsidRPr="00AF0E60">
        <w:rPr>
          <w:rFonts w:ascii="Times New Roman" w:hAnsi="Times New Roman" w:cs="Times New Roman"/>
          <w:sz w:val="24"/>
          <w:szCs w:val="24"/>
        </w:rPr>
        <w:t>_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note</w:t>
      </w:r>
      <w:r w:rsidRPr="00AF0E60">
        <w:rPr>
          <w:rFonts w:ascii="Times New Roman" w:hAnsi="Times New Roman" w:cs="Times New Roman"/>
          <w:sz w:val="24"/>
          <w:szCs w:val="24"/>
        </w:rPr>
        <w:t>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AF0E60">
        <w:rPr>
          <w:rFonts w:ascii="Times New Roman" w:hAnsi="Times New Roman" w:cs="Times New Roman"/>
          <w:sz w:val="24"/>
          <w:szCs w:val="24"/>
        </w:rPr>
        <w:t xml:space="preserve"> (дата обращения: 23.0</w:t>
      </w:r>
      <w:r w:rsidRPr="00AF0E60">
        <w:rPr>
          <w:rFonts w:ascii="Times New Roman" w:hAnsi="Times New Roman" w:cs="Times New Roman"/>
          <w:sz w:val="24"/>
          <w:szCs w:val="24"/>
        </w:rPr>
        <w:t>2</w:t>
      </w:r>
      <w:r w:rsidRPr="00AF0E60">
        <w:rPr>
          <w:rFonts w:ascii="Times New Roman" w:hAnsi="Times New Roman" w:cs="Times New Roman"/>
          <w:sz w:val="24"/>
          <w:szCs w:val="24"/>
        </w:rPr>
        <w:t>.202</w:t>
      </w:r>
      <w:r w:rsidRPr="00AF0E60">
        <w:rPr>
          <w:rFonts w:ascii="Times New Roman" w:hAnsi="Times New Roman" w:cs="Times New Roman"/>
          <w:sz w:val="24"/>
          <w:szCs w:val="24"/>
        </w:rPr>
        <w:t>5</w:t>
      </w:r>
      <w:r w:rsidRPr="00AF0E60">
        <w:rPr>
          <w:rFonts w:ascii="Times New Roman" w:hAnsi="Times New Roman" w:cs="Times New Roman"/>
          <w:sz w:val="24"/>
          <w:szCs w:val="24"/>
        </w:rPr>
        <w:t>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>2. </w:t>
      </w:r>
      <w:r w:rsidRPr="00AF0E60">
        <w:rPr>
          <w:rFonts w:ascii="Times New Roman" w:hAnsi="Times New Roman" w:cs="Times New Roman"/>
          <w:sz w:val="24"/>
          <w:szCs w:val="24"/>
        </w:rPr>
        <w:t xml:space="preserve">Парижское соглашение // Организация Объединённых Наций.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AF0E60">
        <w:rPr>
          <w:rFonts w:ascii="Times New Roman" w:hAnsi="Times New Roman" w:cs="Times New Roman"/>
          <w:sz w:val="24"/>
          <w:szCs w:val="24"/>
        </w:rPr>
        <w:t>://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AF0E60">
        <w:rPr>
          <w:rFonts w:ascii="Times New Roman" w:hAnsi="Times New Roman" w:cs="Times New Roman"/>
          <w:sz w:val="24"/>
          <w:szCs w:val="24"/>
        </w:rPr>
        <w:t>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un</w:t>
      </w:r>
      <w:r w:rsidRPr="00AF0E60">
        <w:rPr>
          <w:rFonts w:ascii="Times New Roman" w:hAnsi="Times New Roman" w:cs="Times New Roman"/>
          <w:sz w:val="24"/>
          <w:szCs w:val="24"/>
        </w:rPr>
        <w:t>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climatechange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paris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agreement</w:t>
      </w:r>
      <w:r w:rsidRPr="00AF0E60">
        <w:rPr>
          <w:rFonts w:ascii="Times New Roman" w:hAnsi="Times New Roman" w:cs="Times New Roman"/>
          <w:sz w:val="24"/>
          <w:szCs w:val="24"/>
        </w:rPr>
        <w:t xml:space="preserve"> (дата обращения: 25.09.2024).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</w:rPr>
        <w:t xml:space="preserve">3. </w:t>
      </w:r>
      <w:r w:rsidRPr="00AF0E60">
        <w:rPr>
          <w:rFonts w:ascii="Times New Roman" w:hAnsi="Times New Roman" w:cs="Times New Roman"/>
          <w:sz w:val="24"/>
          <w:szCs w:val="24"/>
        </w:rPr>
        <w:t>Семенова Н. Н., Еремина О. И., Морозова Г. В., Филичкина Ю. Ю. 2021. Финансовые институты и регулирование «зеленого» финансирования в условиях глобализации // Экономика. Налоги. Право. №4. С. 74-84.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</w:rPr>
        <w:t>4. </w:t>
      </w:r>
      <w:r w:rsidRPr="00AF0E60">
        <w:rPr>
          <w:rFonts w:ascii="Times New Roman" w:hAnsi="Times New Roman" w:cs="Times New Roman"/>
          <w:sz w:val="24"/>
          <w:szCs w:val="24"/>
        </w:rPr>
        <w:t xml:space="preserve">Строганова И. А. Стефанович Л. И. 2021. Финансовые инструменты «зеленого» финансирования // Банковский бизнес и финансовая экономика: глобальные тренды и перспективы развития : материалы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. науч.-практ.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. молодых ученых, магистрантов и аспирантов, Минск, 21 мая 2021 г. / Белорус. гос. ун-т ; </w:t>
      </w:r>
      <w:proofErr w:type="spellStart"/>
      <w:r w:rsidRPr="00AF0E60">
        <w:rPr>
          <w:rFonts w:ascii="Times New Roman" w:hAnsi="Times New Roman" w:cs="Times New Roman"/>
          <w:sz w:val="24"/>
          <w:szCs w:val="24"/>
        </w:rPr>
        <w:t>редкол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 xml:space="preserve">.: А. А. Королёва (гл. ред.)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[и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др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.]. </w:t>
      </w:r>
      <w:proofErr w:type="spellStart"/>
      <w:proofErr w:type="gram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Минск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БГУ. С. 237-240.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5. 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Baker B. ESG investing statistics – 2023 // Bankrate. </w:t>
      </w:r>
      <w:r w:rsidRPr="00AF0E60">
        <w:rPr>
          <w:rFonts w:ascii="Times New Roman" w:hAnsi="Times New Roman" w:cs="Times New Roman"/>
          <w:sz w:val="24"/>
          <w:szCs w:val="24"/>
        </w:rPr>
        <w:t xml:space="preserve">2023.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AF0E60">
        <w:rPr>
          <w:rFonts w:ascii="Times New Roman" w:hAnsi="Times New Roman" w:cs="Times New Roman"/>
          <w:sz w:val="24"/>
          <w:szCs w:val="24"/>
        </w:rPr>
        <w:t xml:space="preserve">: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AF0E60">
        <w:rPr>
          <w:rFonts w:ascii="Times New Roman" w:hAnsi="Times New Roman" w:cs="Times New Roman"/>
          <w:sz w:val="24"/>
          <w:szCs w:val="24"/>
        </w:rPr>
        <w:t>://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AF0E6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bankrate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investing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esg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investing</w:t>
      </w:r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statistics</w:t>
      </w:r>
      <w:r w:rsidRPr="00AF0E60">
        <w:rPr>
          <w:rFonts w:ascii="Times New Roman" w:hAnsi="Times New Roman" w:cs="Times New Roman"/>
          <w:sz w:val="24"/>
          <w:szCs w:val="24"/>
        </w:rPr>
        <w:t>/ (дата обращения: 08.1</w:t>
      </w:r>
      <w:r w:rsidRPr="00AF0E60">
        <w:rPr>
          <w:rFonts w:ascii="Times New Roman" w:hAnsi="Times New Roman" w:cs="Times New Roman"/>
          <w:sz w:val="24"/>
          <w:szCs w:val="24"/>
        </w:rPr>
        <w:t>2</w:t>
      </w:r>
      <w:r w:rsidRPr="00AF0E60">
        <w:rPr>
          <w:rFonts w:ascii="Times New Roman" w:hAnsi="Times New Roman" w:cs="Times New Roman"/>
          <w:sz w:val="24"/>
          <w:szCs w:val="24"/>
        </w:rPr>
        <w:t>.2024).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6. 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Emergency Management and the Polluter Pay Principle // The Canada Energy Regulator (CER). 2023. https://www.cer-rec.gc.ca/en/about/news-room/fact-sheets/emergency-management-polluter-pay-principle.html (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дата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обращения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>: 24.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.2024).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7. 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Höhne N., Khosla S., Fekete H., Gilbert A. 2012. Mapping of Green Finance Delivered by IDFC Members in 2011 //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Ecofys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>. https://www.idfc.org/wp-content/uploads/2019/03/idfc_green_finance_mapping_report_2012_06-14-12.pdf (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дата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обращения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02.03.2025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8. 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Introduction to Climate Finance // United Nations Climate Change. </w:t>
      </w:r>
      <w:r w:rsidRPr="00AF0E60">
        <w:rPr>
          <w:rFonts w:ascii="Times New Roman" w:hAnsi="Times New Roman" w:cs="Times New Roman"/>
          <w:sz w:val="24"/>
          <w:szCs w:val="24"/>
        </w:rPr>
        <w:t xml:space="preserve">2024.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AF0E60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unfccc</w:t>
      </w:r>
      <w:proofErr w:type="spellEnd"/>
      <w:r w:rsidRPr="00AF0E60">
        <w:rPr>
          <w:rFonts w:ascii="Times New Roman" w:hAnsi="Times New Roman" w:cs="Times New Roman"/>
          <w:sz w:val="24"/>
          <w:szCs w:val="24"/>
        </w:rPr>
        <w:t>.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int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topics</w:t>
      </w:r>
      <w:r w:rsidRPr="00AF0E60">
        <w:rPr>
          <w:rFonts w:ascii="Times New Roman" w:hAnsi="Times New Roman" w:cs="Times New Roman"/>
          <w:sz w:val="24"/>
          <w:szCs w:val="24"/>
        </w:rPr>
        <w:t>/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introduction</w:t>
      </w:r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climate</w:t>
      </w:r>
      <w:r w:rsidRPr="00AF0E60">
        <w:rPr>
          <w:rFonts w:ascii="Times New Roman" w:hAnsi="Times New Roman" w:cs="Times New Roman"/>
          <w:sz w:val="24"/>
          <w:szCs w:val="24"/>
        </w:rPr>
        <w:t>-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finance</w:t>
      </w:r>
      <w:r w:rsidRPr="00AF0E60">
        <w:rPr>
          <w:rFonts w:ascii="Times New Roman" w:hAnsi="Times New Roman" w:cs="Times New Roman"/>
          <w:sz w:val="24"/>
          <w:szCs w:val="24"/>
        </w:rPr>
        <w:t xml:space="preserve"> (дата обращения: </w:t>
      </w:r>
      <w:r w:rsidRPr="00AF0E60">
        <w:rPr>
          <w:rFonts w:ascii="Times New Roman" w:hAnsi="Times New Roman" w:cs="Times New Roman"/>
          <w:sz w:val="24"/>
          <w:szCs w:val="24"/>
        </w:rPr>
        <w:t>20.03.2025</w:t>
      </w:r>
      <w:r w:rsidRPr="00AF0E60">
        <w:rPr>
          <w:rFonts w:ascii="Times New Roman" w:hAnsi="Times New Roman" w:cs="Times New Roman"/>
          <w:sz w:val="24"/>
          <w:szCs w:val="24"/>
        </w:rPr>
        <w:t>).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</w:rPr>
        <w:t>9. 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Kostić N.,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Hujdur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A. 2023. Building a Sustainable Future: ESG Business Handbook // How Environmental, Social and Governance Standards Can Benefit Your Business. 74 с.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lastRenderedPageBreak/>
        <w:t>10. 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Lehner O. M., Harrer T.,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Silvola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H., Weber O. 2024. The Routledge Handbook of Green Finance. Routledge. 614 c.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</w:rPr>
        <w:t>11. 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Martin V. 2023. Green Finance: Regulation and Instruments // Journal of Central Banking Theory and Practice. №2. C. 185-209.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12. 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Sangiorgi I. S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chopohl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L. Why do institutional investors buy green bonds: Evidence from a survey of European asset managers // International Review of Financial Analysis. 2021. № 75. С. 1-50.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13. 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Siemroth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C. 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Hornuf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L. Why Do Retail Investors Pick Green Investments? A Lab-in-the-Field Experiment with Crowdfunders // Journal of Economic Behavior and Organization. 2023. № 209. С. 74-90.</w:t>
      </w:r>
    </w:p>
    <w:p w:rsidR="008D2CFA" w:rsidRPr="00AF0E60" w:rsidRDefault="008D2CFA" w:rsidP="008D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sz w:val="24"/>
          <w:szCs w:val="24"/>
          <w:lang w:val="en-US"/>
        </w:rPr>
        <w:t>14. </w:t>
      </w:r>
      <w:proofErr w:type="spellStart"/>
      <w:r w:rsidRPr="00AF0E60">
        <w:rPr>
          <w:rFonts w:ascii="Times New Roman" w:hAnsi="Times New Roman" w:cs="Times New Roman"/>
          <w:sz w:val="24"/>
          <w:szCs w:val="24"/>
          <w:lang w:val="en-US"/>
        </w:rPr>
        <w:t>Zadek</w:t>
      </w:r>
      <w:proofErr w:type="spellEnd"/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S. Flynn C. South-Originating Green Finance: Exploring the Potential // The Geneva International Finance Dialogues. 2013. 22 c.</w:t>
      </w:r>
    </w:p>
    <w:p w:rsidR="001B13EC" w:rsidRPr="00AF0E60" w:rsidRDefault="001B13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B13EC" w:rsidRPr="00AF0E60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:rsidR="001B13EC" w:rsidRPr="00AF0E60" w:rsidRDefault="00AD5479" w:rsidP="00AD54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</w:rPr>
        <w:t>Елышев Егор Игоревич (Россия, Тюмень)</w:t>
      </w:r>
      <w:r w:rsidRPr="00AF0E60">
        <w:rPr>
          <w:rFonts w:ascii="Times New Roman" w:hAnsi="Times New Roman" w:cs="Times New Roman"/>
          <w:sz w:val="24"/>
          <w:szCs w:val="24"/>
        </w:rPr>
        <w:t xml:space="preserve"> – аспирант, ФГАОУ ВО «Тюменский</w:t>
      </w:r>
      <w:r w:rsidRPr="00AF0E60">
        <w:rPr>
          <w:rFonts w:ascii="Times New Roman" w:hAnsi="Times New Roman" w:cs="Times New Roman"/>
          <w:sz w:val="24"/>
          <w:szCs w:val="24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</w:rPr>
        <w:t>государственный университет» (625003, Россия, г. Тюмень, ул. Володарского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F0E60">
        <w:rPr>
          <w:rFonts w:ascii="Times New Roman" w:hAnsi="Times New Roman" w:cs="Times New Roman"/>
          <w:sz w:val="24"/>
          <w:szCs w:val="24"/>
        </w:rPr>
        <w:t>д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. 6;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e-mail: egorelishevigr@gmail.com)</w:t>
      </w:r>
      <w:r w:rsidRPr="00AF0E60">
        <w:rPr>
          <w:lang w:val="en-US"/>
        </w:rPr>
        <w:t xml:space="preserve"> </w:t>
      </w:r>
    </w:p>
    <w:p w:rsidR="001B13EC" w:rsidRPr="00AF0E60" w:rsidRDefault="00AD547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</w:pPr>
      <w:proofErr w:type="spellStart"/>
      <w:r w:rsidRPr="00AF0E60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Elyshev</w:t>
      </w:r>
      <w:proofErr w:type="spellEnd"/>
      <w:r w:rsidRPr="00AF0E60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 xml:space="preserve"> E.I</w:t>
      </w:r>
      <w:r w:rsidR="00000000" w:rsidRPr="00AF0E60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.</w:t>
      </w:r>
    </w:p>
    <w:p w:rsidR="001B13EC" w:rsidRPr="00AF0E60" w:rsidRDefault="00AF0E6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>GREEN FINANCE INSTITUTE: STRUCTURE AND INVESTORS’ VIEW</w:t>
      </w:r>
    </w:p>
    <w:p w:rsidR="001B13EC" w:rsidRPr="00AF0E60" w:rsidRDefault="001B13E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3B0BB1" w:rsidRPr="00AF0E60" w:rsidRDefault="003B0BB1" w:rsidP="003B0BB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AF0E60">
        <w:rPr>
          <w:rFonts w:ascii="Times New Roman" w:hAnsi="Times New Roman" w:cs="Times New Roman"/>
          <w:bCs/>
          <w:sz w:val="24"/>
          <w:szCs w:val="24"/>
          <w:lang w:val="en-US"/>
        </w:rPr>
        <w:t>The institute of "green" financing is considered in the interrelation of its constituent elements - "green" financial instruments, national and international entities, special eco-oriented political principles.</w:t>
      </w:r>
    </w:p>
    <w:p w:rsidR="001B13EC" w:rsidRPr="00AF0E60" w:rsidRDefault="003B0B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AF0E60">
        <w:rPr>
          <w:rFonts w:ascii="Times New Roman" w:hAnsi="Times New Roman" w:cs="Times New Roman"/>
          <w:bCs/>
          <w:sz w:val="24"/>
          <w:szCs w:val="24"/>
          <w:lang w:val="en-US"/>
        </w:rPr>
        <w:t>"green financing", "green" economy, sustainable development, financial instruments, financial institutions, ecology</w:t>
      </w:r>
      <w:r w:rsidR="00000000" w:rsidRPr="00AF0E6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B0BB1" w:rsidRPr="00AF0E60" w:rsidRDefault="003B0B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B13EC" w:rsidRPr="00AF0E60" w:rsidRDefault="000000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1B13EC" w:rsidRPr="00AF0E60" w:rsidRDefault="00AD5479" w:rsidP="00AD54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>Elyshev</w:t>
      </w:r>
      <w:proofErr w:type="spellEnd"/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Egor </w:t>
      </w:r>
      <w:proofErr w:type="spellStart"/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>Igorevich</w:t>
      </w:r>
      <w:proofErr w:type="spellEnd"/>
      <w:r w:rsidRPr="00AF0E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Tyumen)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– graduate student, Federal State Autonomous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Educational Institution of Higher Education “Tyumen State University” (Russia, 625003,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F0E60">
        <w:rPr>
          <w:rFonts w:ascii="Times New Roman" w:hAnsi="Times New Roman" w:cs="Times New Roman"/>
          <w:sz w:val="24"/>
          <w:szCs w:val="24"/>
          <w:lang w:val="en-US"/>
        </w:rPr>
        <w:t>Tyumen, Volodarsky St., 6; e-mail: egorelishevigr@gmail.com)</w:t>
      </w:r>
    </w:p>
    <w:p w:rsidR="001B13EC" w:rsidRPr="00AF0E60" w:rsidRDefault="001B13EC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:rsidR="001B13EC" w:rsidRPr="00AF0E60" w:rsidRDefault="000000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F0E6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175C19" w:rsidRPr="00AF0E60" w:rsidRDefault="00175C19" w:rsidP="00175C1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1. Green finance: an agenda for Russia // Expert Council on the long-term investment market under the Bank of Russia. Working group on responsible financing (ESG-finance), incl. "green" financing.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Available at: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https://www.cbr.ru/Content/Document/File/51270/diagnostic_note.pdf</w:t>
      </w:r>
    </w:p>
    <w:p w:rsidR="00175C19" w:rsidRPr="00AF0E60" w:rsidRDefault="00175C19" w:rsidP="00175C1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2.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 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Paris Agreement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United Nations.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Available at: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https://www.un.org/ru/climatechange/paris-agreement.</w:t>
      </w:r>
    </w:p>
    <w:p w:rsidR="00175C19" w:rsidRPr="00AF0E60" w:rsidRDefault="00175C19" w:rsidP="00175C1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3. Semenova N. N.,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Eremina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O. I., Morozova G. V.,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Filichkina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Yu. Yu. Financial institutions and regulation of "green" financing in the context of globalization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Economy. Taxes. Law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2021, vol.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4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 pp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74-84.</w:t>
      </w:r>
    </w:p>
    <w:p w:rsidR="00175C19" w:rsidRPr="00AF0E60" w:rsidRDefault="00175C19" w:rsidP="00175C1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4.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Stroganova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I. A. Stefanovich L. I. Financial instruments of "green" financing // Banking business and financial economy: global trends and development prospects: Proc. of the VI Int. scientific and practical. conf. of young scientists, master's and postgraduate students, Minsk, May 21, 2021 / Belarusian state University; editorial board: A. A. Koroleva (editor-in-chief) [et al.]. Minsk: BSU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 2021, pp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237-240.</w:t>
      </w:r>
    </w:p>
    <w:p w:rsidR="00D570D3" w:rsidRPr="00AF0E60" w:rsidRDefault="00D570D3" w:rsidP="00175C1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5. Baker B. ESG investing statistics – 2023 // Bankrate.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2023.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Available at: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https://www.bankrate.com/investing/esg-investing-statistics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6. Emergency Management and the Polluter Pay Principle // The Canada Energy Regulator (CER). 2023. Available a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t: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https://www.cer-rec.gc.ca/en/about/news-room/fact-sheets/emergency-management-polluter-pay-principle.html 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lastRenderedPageBreak/>
        <w:t xml:space="preserve">7. Höhne N., Khosla S., Fekete H., Gilbert A. 2012. Mapping of Green Finance Delivered by IDFC Members in 2011 //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Ecofys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Available at: https://www.idfc.org/wp-content/uploads/2019/03/idfc_green_finance_mapping_report_2012_06-14-12.pdf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8. Introduction to Climate Finance // United Nations Climate Change.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2024.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Available at: https://unfccc.int/topics/introduction-to-climate-finance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9. Kostić N.,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Hujdur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A. Building a Sustainable Future: ESG Business Handbook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How Environmental, Social and Governance Standards Can Benefit Your Business. The AIRE Centre and UNDP Bosnia and Herzegovina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2024.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74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10. Lehner O. M., Harrer T.,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Silvola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H., Weber O. The Routledge Handbook of Green Finance. Routledge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 2024.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614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11. Martin V. Green Finance: Regulation and Instruments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Journal of Central Banking Theory and Practice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 2023, vol. 2, pp.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185-209.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12. Sangiorgi I.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Schopohl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L. Why do institutional investors buy green bonds: Evidence from a survey of European asset managers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International Review of Financial Analysis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,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2021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,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vol.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75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pp.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1-50.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13.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Siemroth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C.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Hornuf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L. Why Do Retail Investors Pick Green Investments? A Lab-in-the-Field Experiment with Crowdfunders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Journal of Economic Behavior and Organization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2023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, vol.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209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 pp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 74-90.</w:t>
      </w:r>
    </w:p>
    <w:p w:rsidR="001B13EC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14. </w:t>
      </w:r>
      <w:proofErr w:type="spellStart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Zadek</w:t>
      </w:r>
      <w:proofErr w:type="spellEnd"/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S. Flynn C. South-Originating Green Finance: Exploring the Potential // The Geneva International Finance Dialogues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,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 2013. 22 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</w:t>
      </w:r>
      <w:r w:rsidRPr="00AF0E6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.</w:t>
      </w: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</w:pPr>
    </w:p>
    <w:p w:rsidR="00D570D3" w:rsidRPr="00AF0E60" w:rsidRDefault="00D570D3" w:rsidP="00D570D3">
      <w:pPr>
        <w:spacing w:after="0" w:line="240" w:lineRule="auto"/>
        <w:ind w:firstLine="709"/>
        <w:jc w:val="both"/>
        <w:rPr>
          <w:noProof/>
          <w:lang w:val="en-US"/>
        </w:rPr>
      </w:pPr>
    </w:p>
    <w:p w:rsidR="00D570D3" w:rsidRPr="00D570D3" w:rsidRDefault="00D570D3" w:rsidP="00D570D3">
      <w:pPr>
        <w:spacing w:after="0" w:line="240" w:lineRule="auto"/>
        <w:ind w:firstLine="709"/>
        <w:jc w:val="both"/>
        <w:rPr>
          <w:color w:val="FF0000"/>
        </w:rPr>
      </w:pPr>
    </w:p>
    <w:sectPr w:rsidR="00D570D3" w:rsidRPr="00D570D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07F45" w:rsidRDefault="00C07F45">
      <w:pPr>
        <w:spacing w:after="0" w:line="240" w:lineRule="auto"/>
      </w:pPr>
      <w:r>
        <w:separator/>
      </w:r>
    </w:p>
  </w:endnote>
  <w:endnote w:type="continuationSeparator" w:id="0">
    <w:p w:rsidR="00C07F45" w:rsidRDefault="00C07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07F45" w:rsidRDefault="00C07F45">
      <w:pPr>
        <w:spacing w:after="0" w:line="240" w:lineRule="auto"/>
      </w:pPr>
      <w:r>
        <w:separator/>
      </w:r>
    </w:p>
  </w:footnote>
  <w:footnote w:type="continuationSeparator" w:id="0">
    <w:p w:rsidR="00C07F45" w:rsidRDefault="00C07F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1794B"/>
    <w:multiLevelType w:val="hybridMultilevel"/>
    <w:tmpl w:val="F3826738"/>
    <w:lvl w:ilvl="0" w:tplc="30DCB98E">
      <w:start w:val="1"/>
      <w:numFmt w:val="decimal"/>
      <w:lvlText w:val="%1."/>
      <w:lvlJc w:val="left"/>
      <w:pPr>
        <w:ind w:left="709" w:hanging="360"/>
      </w:pPr>
    </w:lvl>
    <w:lvl w:ilvl="1" w:tplc="304EA37E">
      <w:start w:val="1"/>
      <w:numFmt w:val="lowerLetter"/>
      <w:lvlText w:val="%2."/>
      <w:lvlJc w:val="left"/>
      <w:pPr>
        <w:ind w:left="1429" w:hanging="360"/>
      </w:pPr>
    </w:lvl>
    <w:lvl w:ilvl="2" w:tplc="B67E8F40">
      <w:start w:val="1"/>
      <w:numFmt w:val="lowerRoman"/>
      <w:lvlText w:val="%3."/>
      <w:lvlJc w:val="right"/>
      <w:pPr>
        <w:ind w:left="2149" w:hanging="180"/>
      </w:pPr>
    </w:lvl>
    <w:lvl w:ilvl="3" w:tplc="1E70F6CE">
      <w:start w:val="1"/>
      <w:numFmt w:val="decimal"/>
      <w:lvlText w:val="%4."/>
      <w:lvlJc w:val="left"/>
      <w:pPr>
        <w:ind w:left="2869" w:hanging="360"/>
      </w:pPr>
    </w:lvl>
    <w:lvl w:ilvl="4" w:tplc="D65AC5A8">
      <w:start w:val="1"/>
      <w:numFmt w:val="lowerLetter"/>
      <w:lvlText w:val="%5."/>
      <w:lvlJc w:val="left"/>
      <w:pPr>
        <w:ind w:left="3589" w:hanging="360"/>
      </w:pPr>
    </w:lvl>
    <w:lvl w:ilvl="5" w:tplc="6096D692">
      <w:start w:val="1"/>
      <w:numFmt w:val="lowerRoman"/>
      <w:lvlText w:val="%6."/>
      <w:lvlJc w:val="right"/>
      <w:pPr>
        <w:ind w:left="4309" w:hanging="180"/>
      </w:pPr>
    </w:lvl>
    <w:lvl w:ilvl="6" w:tplc="5D0E39F8">
      <w:start w:val="1"/>
      <w:numFmt w:val="decimal"/>
      <w:lvlText w:val="%7."/>
      <w:lvlJc w:val="left"/>
      <w:pPr>
        <w:ind w:left="5029" w:hanging="360"/>
      </w:pPr>
    </w:lvl>
    <w:lvl w:ilvl="7" w:tplc="38B03010">
      <w:start w:val="1"/>
      <w:numFmt w:val="lowerLetter"/>
      <w:lvlText w:val="%8."/>
      <w:lvlJc w:val="left"/>
      <w:pPr>
        <w:ind w:left="5749" w:hanging="360"/>
      </w:pPr>
    </w:lvl>
    <w:lvl w:ilvl="8" w:tplc="49BC2782">
      <w:start w:val="1"/>
      <w:numFmt w:val="lowerRoman"/>
      <w:lvlText w:val="%9."/>
      <w:lvlJc w:val="right"/>
      <w:pPr>
        <w:ind w:left="6469" w:hanging="180"/>
      </w:pPr>
    </w:lvl>
  </w:abstractNum>
  <w:abstractNum w:abstractNumId="1" w15:restartNumberingAfterBreak="0">
    <w:nsid w:val="29530D5E"/>
    <w:multiLevelType w:val="hybridMultilevel"/>
    <w:tmpl w:val="153844EE"/>
    <w:lvl w:ilvl="0" w:tplc="C99853C2">
      <w:start w:val="1"/>
      <w:numFmt w:val="decimal"/>
      <w:lvlText w:val="%1."/>
      <w:lvlJc w:val="left"/>
      <w:pPr>
        <w:ind w:left="1417" w:hanging="360"/>
      </w:pPr>
    </w:lvl>
    <w:lvl w:ilvl="1" w:tplc="8A66ECAA">
      <w:start w:val="1"/>
      <w:numFmt w:val="lowerLetter"/>
      <w:lvlText w:val="%2."/>
      <w:lvlJc w:val="left"/>
      <w:pPr>
        <w:ind w:left="2137" w:hanging="360"/>
      </w:pPr>
    </w:lvl>
    <w:lvl w:ilvl="2" w:tplc="B48833C4">
      <w:start w:val="1"/>
      <w:numFmt w:val="lowerRoman"/>
      <w:lvlText w:val="%3."/>
      <w:lvlJc w:val="right"/>
      <w:pPr>
        <w:ind w:left="2857" w:hanging="180"/>
      </w:pPr>
    </w:lvl>
    <w:lvl w:ilvl="3" w:tplc="30988194">
      <w:start w:val="1"/>
      <w:numFmt w:val="decimal"/>
      <w:lvlText w:val="%4."/>
      <w:lvlJc w:val="left"/>
      <w:pPr>
        <w:ind w:left="3577" w:hanging="360"/>
      </w:pPr>
    </w:lvl>
    <w:lvl w:ilvl="4" w:tplc="AA2282AC">
      <w:start w:val="1"/>
      <w:numFmt w:val="lowerLetter"/>
      <w:lvlText w:val="%5."/>
      <w:lvlJc w:val="left"/>
      <w:pPr>
        <w:ind w:left="4297" w:hanging="360"/>
      </w:pPr>
    </w:lvl>
    <w:lvl w:ilvl="5" w:tplc="9EBAB2CC">
      <w:start w:val="1"/>
      <w:numFmt w:val="lowerRoman"/>
      <w:lvlText w:val="%6."/>
      <w:lvlJc w:val="right"/>
      <w:pPr>
        <w:ind w:left="5017" w:hanging="180"/>
      </w:pPr>
    </w:lvl>
    <w:lvl w:ilvl="6" w:tplc="BD669EF2">
      <w:start w:val="1"/>
      <w:numFmt w:val="decimal"/>
      <w:lvlText w:val="%7."/>
      <w:lvlJc w:val="left"/>
      <w:pPr>
        <w:ind w:left="5737" w:hanging="360"/>
      </w:pPr>
    </w:lvl>
    <w:lvl w:ilvl="7" w:tplc="2034C074">
      <w:start w:val="1"/>
      <w:numFmt w:val="lowerLetter"/>
      <w:lvlText w:val="%8."/>
      <w:lvlJc w:val="left"/>
      <w:pPr>
        <w:ind w:left="6457" w:hanging="360"/>
      </w:pPr>
    </w:lvl>
    <w:lvl w:ilvl="8" w:tplc="91F87ED0">
      <w:start w:val="1"/>
      <w:numFmt w:val="lowerRoman"/>
      <w:lvlText w:val="%9."/>
      <w:lvlJc w:val="right"/>
      <w:pPr>
        <w:ind w:left="7177" w:hanging="180"/>
      </w:pPr>
    </w:lvl>
  </w:abstractNum>
  <w:abstractNum w:abstractNumId="2" w15:restartNumberingAfterBreak="0">
    <w:nsid w:val="2B7308AC"/>
    <w:multiLevelType w:val="hybridMultilevel"/>
    <w:tmpl w:val="D5EE90C2"/>
    <w:lvl w:ilvl="0" w:tplc="E65026C8">
      <w:start w:val="1"/>
      <w:numFmt w:val="decimal"/>
      <w:lvlText w:val="%1."/>
      <w:lvlJc w:val="left"/>
      <w:pPr>
        <w:ind w:left="1418" w:hanging="360"/>
      </w:pPr>
    </w:lvl>
    <w:lvl w:ilvl="1" w:tplc="306C2648">
      <w:start w:val="1"/>
      <w:numFmt w:val="lowerLetter"/>
      <w:lvlText w:val="%2."/>
      <w:lvlJc w:val="left"/>
      <w:pPr>
        <w:ind w:left="2138" w:hanging="360"/>
      </w:pPr>
    </w:lvl>
    <w:lvl w:ilvl="2" w:tplc="E41C9900">
      <w:start w:val="1"/>
      <w:numFmt w:val="lowerRoman"/>
      <w:lvlText w:val="%3."/>
      <w:lvlJc w:val="right"/>
      <w:pPr>
        <w:ind w:left="2858" w:hanging="180"/>
      </w:pPr>
    </w:lvl>
    <w:lvl w:ilvl="3" w:tplc="24B4741C">
      <w:start w:val="1"/>
      <w:numFmt w:val="decimal"/>
      <w:lvlText w:val="%4."/>
      <w:lvlJc w:val="left"/>
      <w:pPr>
        <w:ind w:left="3578" w:hanging="360"/>
      </w:pPr>
    </w:lvl>
    <w:lvl w:ilvl="4" w:tplc="DF08DFA2">
      <w:start w:val="1"/>
      <w:numFmt w:val="lowerLetter"/>
      <w:lvlText w:val="%5."/>
      <w:lvlJc w:val="left"/>
      <w:pPr>
        <w:ind w:left="4298" w:hanging="360"/>
      </w:pPr>
    </w:lvl>
    <w:lvl w:ilvl="5" w:tplc="E32C93BA">
      <w:start w:val="1"/>
      <w:numFmt w:val="lowerRoman"/>
      <w:lvlText w:val="%6."/>
      <w:lvlJc w:val="right"/>
      <w:pPr>
        <w:ind w:left="5018" w:hanging="180"/>
      </w:pPr>
    </w:lvl>
    <w:lvl w:ilvl="6" w:tplc="D8FE3E4A">
      <w:start w:val="1"/>
      <w:numFmt w:val="decimal"/>
      <w:lvlText w:val="%7."/>
      <w:lvlJc w:val="left"/>
      <w:pPr>
        <w:ind w:left="5738" w:hanging="360"/>
      </w:pPr>
    </w:lvl>
    <w:lvl w:ilvl="7" w:tplc="2B1A09F0">
      <w:start w:val="1"/>
      <w:numFmt w:val="lowerLetter"/>
      <w:lvlText w:val="%8."/>
      <w:lvlJc w:val="left"/>
      <w:pPr>
        <w:ind w:left="6458" w:hanging="360"/>
      </w:pPr>
    </w:lvl>
    <w:lvl w:ilvl="8" w:tplc="8B4687CA">
      <w:start w:val="1"/>
      <w:numFmt w:val="lowerRoman"/>
      <w:lvlText w:val="%9."/>
      <w:lvlJc w:val="right"/>
      <w:pPr>
        <w:ind w:left="7178" w:hanging="180"/>
      </w:pPr>
    </w:lvl>
  </w:abstractNum>
  <w:abstractNum w:abstractNumId="3" w15:restartNumberingAfterBreak="0">
    <w:nsid w:val="58963EC3"/>
    <w:multiLevelType w:val="hybridMultilevel"/>
    <w:tmpl w:val="1FCE62D0"/>
    <w:lvl w:ilvl="0" w:tplc="5456FFB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6392729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5E28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F05E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5EDA7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DAE0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4805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4C69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8A8FB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8203024">
    <w:abstractNumId w:val="3"/>
  </w:num>
  <w:num w:numId="2" w16cid:durableId="1662467307">
    <w:abstractNumId w:val="2"/>
  </w:num>
  <w:num w:numId="3" w16cid:durableId="747732352">
    <w:abstractNumId w:val="0"/>
  </w:num>
  <w:num w:numId="4" w16cid:durableId="19329283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3EC"/>
    <w:rsid w:val="00175C19"/>
    <w:rsid w:val="001B13EC"/>
    <w:rsid w:val="00223546"/>
    <w:rsid w:val="00264E41"/>
    <w:rsid w:val="002A2185"/>
    <w:rsid w:val="00345605"/>
    <w:rsid w:val="003B0BB1"/>
    <w:rsid w:val="0048240E"/>
    <w:rsid w:val="005555A4"/>
    <w:rsid w:val="005A5683"/>
    <w:rsid w:val="006772BC"/>
    <w:rsid w:val="00780FF4"/>
    <w:rsid w:val="00793FF9"/>
    <w:rsid w:val="008006EB"/>
    <w:rsid w:val="008159A8"/>
    <w:rsid w:val="008D2CFA"/>
    <w:rsid w:val="0097436C"/>
    <w:rsid w:val="009B5CB9"/>
    <w:rsid w:val="00AD5479"/>
    <w:rsid w:val="00AF0E60"/>
    <w:rsid w:val="00B462D9"/>
    <w:rsid w:val="00BF6229"/>
    <w:rsid w:val="00C07F45"/>
    <w:rsid w:val="00C52730"/>
    <w:rsid w:val="00CE01C0"/>
    <w:rsid w:val="00D570D3"/>
    <w:rsid w:val="00D63B2F"/>
    <w:rsid w:val="00DF5D7D"/>
    <w:rsid w:val="00EA2612"/>
    <w:rsid w:val="00ED1042"/>
    <w:rsid w:val="00F833C3"/>
    <w:rsid w:val="00F84135"/>
    <w:rsid w:val="00FE4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3F50E"/>
  <w15:docId w15:val="{26395D5A-D6E1-4C9A-8CD9-7D1D2932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3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basedOn w:val="a0"/>
    <w:uiPriority w:val="99"/>
    <w:unhideWhenUsed/>
    <w:qFormat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D9232-19B3-4B58-9F3E-9BED641E9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5</Pages>
  <Words>2302</Words>
  <Characters>13122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Натиговна Нацун</dc:creator>
  <cp:keywords/>
  <dc:description/>
  <cp:lastModifiedBy>Егор Елышев</cp:lastModifiedBy>
  <cp:revision>46</cp:revision>
  <dcterms:created xsi:type="dcterms:W3CDTF">2024-02-05T06:51:00Z</dcterms:created>
  <dcterms:modified xsi:type="dcterms:W3CDTF">2025-03-21T20:39:00Z</dcterms:modified>
</cp:coreProperties>
</file>