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414CB4" w:rsidP="00414CB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УДК 316.346.32 / ББК 60.504</w:t>
      </w:r>
    </w:p>
    <w:p w:rsidR="00414CB4" w:rsidRPr="00414CB4" w:rsidRDefault="00414CB4" w:rsidP="00414CB4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14CB4">
        <w:rPr>
          <w:rFonts w:ascii="Times New Roman" w:hAnsi="Times New Roman" w:cs="Times New Roman"/>
          <w:b/>
          <w:sz w:val="24"/>
          <w:szCs w:val="24"/>
        </w:rPr>
        <w:t>Гайфуллин</w:t>
      </w:r>
      <w:proofErr w:type="spellEnd"/>
      <w:r w:rsidRPr="00414CB4">
        <w:rPr>
          <w:rFonts w:ascii="Times New Roman" w:hAnsi="Times New Roman" w:cs="Times New Roman"/>
          <w:b/>
          <w:sz w:val="24"/>
          <w:szCs w:val="24"/>
        </w:rPr>
        <w:t xml:space="preserve"> А.Ю.</w:t>
      </w:r>
    </w:p>
    <w:p w:rsidR="00414CB4" w:rsidRPr="00414CB4" w:rsidRDefault="00414CB4" w:rsidP="00414CB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4CB4">
        <w:rPr>
          <w:rFonts w:ascii="Times New Roman" w:hAnsi="Times New Roman" w:cs="Times New Roman"/>
          <w:b/>
          <w:sz w:val="24"/>
          <w:szCs w:val="24"/>
        </w:rPr>
        <w:t>ПРОФЕССИОНАЛЬНЫЕ ОРИЕНТИРЫ ШКОЛЬНИКОВ, ПРОЖИВАЮЩИХ В МУНИЦИПАЛЬНЫХ РАЙОНАХ СУБЪЕКТОВ РОССИЙСКОЙ ФЕДЕРАЦИИ (НА ПРИМЕРЕ РЕСПУБЛИКИ БАШКОРТОСТАН)</w:t>
      </w:r>
    </w:p>
    <w:p w:rsidR="00414CB4" w:rsidRPr="00414CB4" w:rsidRDefault="00414CB4" w:rsidP="00414CB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14CB4" w:rsidRPr="00734DE5" w:rsidRDefault="00414CB4" w:rsidP="00734DE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34DE5">
        <w:rPr>
          <w:rFonts w:ascii="Times New Roman" w:hAnsi="Times New Roman" w:cs="Times New Roman"/>
          <w:b/>
          <w:sz w:val="24"/>
          <w:szCs w:val="24"/>
        </w:rPr>
        <w:t xml:space="preserve">Аннотация. </w:t>
      </w:r>
      <w:r w:rsidRPr="00734DE5">
        <w:rPr>
          <w:rFonts w:ascii="Times New Roman" w:hAnsi="Times New Roman" w:cs="Times New Roman"/>
          <w:sz w:val="24"/>
          <w:szCs w:val="24"/>
        </w:rPr>
        <w:t xml:space="preserve">В статье проанализированы профессиональные ориентиров школьников, проживающих в муниципальном районе </w:t>
      </w:r>
      <w:proofErr w:type="spellStart"/>
      <w:r w:rsidRPr="00734DE5">
        <w:rPr>
          <w:rFonts w:ascii="Times New Roman" w:hAnsi="Times New Roman" w:cs="Times New Roman"/>
          <w:sz w:val="24"/>
          <w:szCs w:val="24"/>
        </w:rPr>
        <w:t>Туймазинский</w:t>
      </w:r>
      <w:proofErr w:type="spellEnd"/>
      <w:r w:rsidRPr="00734DE5">
        <w:rPr>
          <w:rFonts w:ascii="Times New Roman" w:hAnsi="Times New Roman" w:cs="Times New Roman"/>
          <w:sz w:val="24"/>
          <w:szCs w:val="24"/>
        </w:rPr>
        <w:t xml:space="preserve"> район Республики Башкортостан. Рассмотрены критерии престижности профессий, </w:t>
      </w:r>
      <w:proofErr w:type="spellStart"/>
      <w:r w:rsidRPr="00734DE5">
        <w:rPr>
          <w:rFonts w:ascii="Times New Roman" w:hAnsi="Times New Roman" w:cs="Times New Roman"/>
          <w:sz w:val="24"/>
          <w:szCs w:val="24"/>
        </w:rPr>
        <w:t>востребованность</w:t>
      </w:r>
      <w:proofErr w:type="spellEnd"/>
      <w:r w:rsidRPr="00734DE5">
        <w:rPr>
          <w:rFonts w:ascii="Times New Roman" w:hAnsi="Times New Roman" w:cs="Times New Roman"/>
          <w:sz w:val="24"/>
          <w:szCs w:val="24"/>
        </w:rPr>
        <w:t xml:space="preserve"> различных специальностей у школьников.</w:t>
      </w:r>
    </w:p>
    <w:p w:rsidR="00414CB4" w:rsidRPr="00734DE5" w:rsidRDefault="00414CB4" w:rsidP="00734D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4DE5"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 w:rsidRPr="00734DE5">
        <w:rPr>
          <w:rFonts w:ascii="Times New Roman" w:hAnsi="Times New Roman" w:cs="Times New Roman"/>
          <w:sz w:val="24"/>
          <w:szCs w:val="24"/>
        </w:rPr>
        <w:t>престижность профессий, профессиональный ориентир, профессиональный выбор, школьники, муниципальный район, Республика Башкортостан</w:t>
      </w:r>
    </w:p>
    <w:p w:rsidR="00414CB4" w:rsidRPr="00734DE5" w:rsidRDefault="00414CB4" w:rsidP="00734DE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both"/>
      </w:pPr>
      <w:r w:rsidRPr="00734DE5">
        <w:t xml:space="preserve">Профессиональные ориентиры школьников, проживающих в муниципальных районах субъектов Российской Федерации, представляют собой сложную систему, формирующуюся под влиянием множества факторов. Среди них – социально-экономическая ситуация в регионе, региональные особенности рынка труда, и </w:t>
      </w:r>
      <w:proofErr w:type="spellStart"/>
      <w:r w:rsidRPr="00734DE5">
        <w:t>востребованность</w:t>
      </w:r>
      <w:proofErr w:type="spellEnd"/>
      <w:r w:rsidRPr="00734DE5">
        <w:t xml:space="preserve"> определенных профессий на местном рынке труда, образовательная инфраструктура и, конечно, личные интересы и склонности каждого ученика.</w:t>
      </w:r>
    </w:p>
    <w:p w:rsidR="00414CB4" w:rsidRPr="00734DE5" w:rsidRDefault="00414CB4" w:rsidP="00734D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34DE5">
        <w:rPr>
          <w:rFonts w:ascii="Times New Roman" w:hAnsi="Times New Roman" w:cs="Times New Roman"/>
          <w:sz w:val="24"/>
          <w:szCs w:val="24"/>
        </w:rPr>
        <w:t xml:space="preserve">В статье представлены результаты социологического исследования по изучению профессиональных ориентиров школьников 7-9 классов общеобразовательных учреждений муниципального района </w:t>
      </w:r>
      <w:proofErr w:type="spellStart"/>
      <w:r w:rsidRPr="00734DE5">
        <w:rPr>
          <w:rFonts w:ascii="Times New Roman" w:hAnsi="Times New Roman" w:cs="Times New Roman"/>
          <w:sz w:val="24"/>
          <w:szCs w:val="24"/>
        </w:rPr>
        <w:t>Туймазинский</w:t>
      </w:r>
      <w:proofErr w:type="spellEnd"/>
      <w:r w:rsidRPr="00734DE5">
        <w:rPr>
          <w:rFonts w:ascii="Times New Roman" w:hAnsi="Times New Roman" w:cs="Times New Roman"/>
          <w:sz w:val="24"/>
          <w:szCs w:val="24"/>
        </w:rPr>
        <w:t xml:space="preserve"> район Республики Башкортостан в возрасте 13-15 лет. </w:t>
      </w:r>
      <w:proofErr w:type="spellStart"/>
      <w:r w:rsidRPr="00734DE5">
        <w:rPr>
          <w:rFonts w:ascii="Times New Roman" w:hAnsi="Times New Roman" w:cs="Times New Roman"/>
          <w:sz w:val="24"/>
          <w:szCs w:val="24"/>
          <w:shd w:val="clear" w:color="auto" w:fill="FFFFFF"/>
        </w:rPr>
        <w:t>Туймазинский</w:t>
      </w:r>
      <w:proofErr w:type="spellEnd"/>
      <w:r w:rsidRPr="00734DE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район расположен в западной части Республики Башкортостан, на западе граничит с Татарстаном. Административный центр района – город Туймазы, находится в 170 км от Уфы - столицы Республики Башкортостан. Общее число опрошенных - 765 человек. Структура опрошенных по классам обучения: 7 класс - 36,2%, 8 класс - 28,1%, 9 класс - 35,7%; по полу: девушки - 59,9%, юноши - 40,1%. Дата проведения опроса - январь 2024 года. Метод опроса - </w:t>
      </w:r>
      <w:proofErr w:type="spellStart"/>
      <w:r w:rsidRPr="00734DE5">
        <w:rPr>
          <w:rFonts w:ascii="Times New Roman" w:hAnsi="Times New Roman" w:cs="Times New Roman"/>
          <w:sz w:val="24"/>
          <w:szCs w:val="24"/>
          <w:shd w:val="clear" w:color="auto" w:fill="FFFFFF"/>
        </w:rPr>
        <w:t>онлайн</w:t>
      </w:r>
      <w:proofErr w:type="spellEnd"/>
      <w:r w:rsidRPr="00734DE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опрос.</w:t>
      </w:r>
    </w:p>
    <w:p w:rsidR="00414CB4" w:rsidRPr="00734DE5" w:rsidRDefault="00414CB4" w:rsidP="00734D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4DE5">
        <w:rPr>
          <w:rFonts w:ascii="Times New Roman" w:hAnsi="Times New Roman" w:cs="Times New Roman"/>
          <w:sz w:val="24"/>
          <w:szCs w:val="24"/>
        </w:rPr>
        <w:t xml:space="preserve">Профессиональный выбор школьников, проживающих в муниципальных районах, имеет свои особенности, обусловленные спецификой сельской местности и отдаленностью от столицы. Ограниченный доступ к информации о разнообразных профессиях, меньший выбор образовательных учреждений и рабочих мест создают определенные трудности для осознанного выбора будущей карьеры. </w:t>
      </w:r>
    </w:p>
    <w:p w:rsidR="00414CB4" w:rsidRPr="00734DE5" w:rsidRDefault="00414CB4" w:rsidP="00734D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4DE5">
        <w:rPr>
          <w:rFonts w:ascii="Times New Roman" w:hAnsi="Times New Roman" w:cs="Times New Roman"/>
          <w:sz w:val="24"/>
          <w:szCs w:val="24"/>
        </w:rPr>
        <w:t>Выбор будущей профессии – это один из самых важных шагов в жизни каждого человека, определяющий его дальнейшую судьбу и благополучие. Анализируя представленные данные, можно выделить несколько ключевых факторов, которые оказывают наибольшее влияние на этот выбор.</w:t>
      </w:r>
    </w:p>
    <w:p w:rsidR="00414CB4" w:rsidRPr="00734DE5" w:rsidRDefault="00414CB4" w:rsidP="00734D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4DE5">
        <w:rPr>
          <w:rFonts w:ascii="Times New Roman" w:hAnsi="Times New Roman" w:cs="Times New Roman"/>
          <w:sz w:val="24"/>
          <w:szCs w:val="24"/>
        </w:rPr>
        <w:t>Гарантия стабильной занятости и заработной платы (50,5%), а также возможности карьерного и профессионального роста (50,5%), безусловно, являются приоритетными для многих. В современном мире финансовая стабильность и перспективы развития играют важную роль в обеспечении уверенности в завтрашнем дне.</w:t>
      </w:r>
    </w:p>
    <w:p w:rsidR="00414CB4" w:rsidRPr="00734DE5" w:rsidRDefault="00414CB4" w:rsidP="00734D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4DE5">
        <w:rPr>
          <w:rFonts w:ascii="Times New Roman" w:hAnsi="Times New Roman" w:cs="Times New Roman"/>
          <w:sz w:val="24"/>
          <w:szCs w:val="24"/>
        </w:rPr>
        <w:t>Однако, не стоит забывать и о возможности самореализации, творчества и проявления инициативы. Работа должна приносить не только материальное удовлетворение, но и моральное. Важно, чтобы профессия позволяла раскрыть свой потенциал и реализовать свои амбиции.</w:t>
      </w:r>
    </w:p>
    <w:p w:rsidR="00414CB4" w:rsidRPr="00734DE5" w:rsidRDefault="00414CB4" w:rsidP="00734D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4DE5">
        <w:rPr>
          <w:rFonts w:ascii="Times New Roman" w:hAnsi="Times New Roman" w:cs="Times New Roman"/>
          <w:sz w:val="24"/>
          <w:szCs w:val="24"/>
        </w:rPr>
        <w:t>Благоприятные условия труда (41,7%) также играют немаловажную роль. Комфортная и здоровая рабочая среда способствует повышению производительности и снижению уровня стресса.</w:t>
      </w:r>
    </w:p>
    <w:p w:rsidR="00414CB4" w:rsidRPr="00734DE5" w:rsidRDefault="00414CB4" w:rsidP="00734D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4DE5">
        <w:rPr>
          <w:rFonts w:ascii="Times New Roman" w:hAnsi="Times New Roman" w:cs="Times New Roman"/>
          <w:sz w:val="24"/>
          <w:szCs w:val="24"/>
        </w:rPr>
        <w:t>Соответствие работы полученной профессии (35,1%)и социальный престиж сферы профессиональной деятельности (23,0%), хоть и важны, но, судя по данным, имеют меньшее значение, чем вышеперечисленные факторы (рис. 1). В конечном итоге, выбор профессии – это индивидуальное решение, основанное на личных ценностях, интересах и приоритетах.</w:t>
      </w: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both"/>
      </w:pPr>
      <w:r w:rsidRPr="00734DE5">
        <w:lastRenderedPageBreak/>
        <w:drawing>
          <wp:inline distT="0" distB="0" distL="0" distR="0">
            <wp:extent cx="5741582" cy="4465675"/>
            <wp:effectExtent l="0" t="0" r="0" b="0"/>
            <wp:docPr id="7" name="Объект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both"/>
      </w:pPr>
    </w:p>
    <w:p w:rsidR="00414CB4" w:rsidRPr="00734DE5" w:rsidRDefault="00414CB4" w:rsidP="00734DE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34DE5">
        <w:rPr>
          <w:rFonts w:ascii="Times New Roman" w:hAnsi="Times New Roman" w:cs="Times New Roman"/>
          <w:sz w:val="24"/>
          <w:szCs w:val="24"/>
        </w:rPr>
        <w:t>Рисунок 1 - Ответы на вопрос "</w:t>
      </w:r>
      <w:r w:rsidRPr="00734DE5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Pr="00734DE5">
        <w:rPr>
          <w:rFonts w:ascii="Times New Roman" w:hAnsi="Times New Roman" w:cs="Times New Roman"/>
          <w:spacing w:val="3"/>
          <w:sz w:val="24"/>
          <w:szCs w:val="24"/>
          <w:shd w:val="clear" w:color="auto" w:fill="FFFFFF"/>
        </w:rPr>
        <w:t>Что, прежде всего, для Вас важно при выборе будущей профессии?</w:t>
      </w:r>
      <w:r w:rsidRPr="00734DE5">
        <w:rPr>
          <w:rFonts w:ascii="Times New Roman" w:hAnsi="Times New Roman" w:cs="Times New Roman"/>
          <w:sz w:val="24"/>
          <w:szCs w:val="24"/>
        </w:rPr>
        <w:t>" (несколько вариантов ответа) (в % к числу опрошенных)</w:t>
      </w:r>
    </w:p>
    <w:p w:rsidR="00414CB4" w:rsidRPr="00734DE5" w:rsidRDefault="00414CB4" w:rsidP="00734DE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14CB4" w:rsidRPr="00734DE5" w:rsidRDefault="00414CB4" w:rsidP="00734DE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34DE5">
        <w:rPr>
          <w:rFonts w:ascii="Times New Roman" w:hAnsi="Times New Roman" w:cs="Times New Roman"/>
          <w:sz w:val="20"/>
          <w:szCs w:val="20"/>
        </w:rPr>
        <w:t>Источник: данные авторского социологического опроса</w:t>
      </w:r>
    </w:p>
    <w:p w:rsidR="00414CB4" w:rsidRPr="00734DE5" w:rsidRDefault="00414CB4" w:rsidP="00734DE5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4"/>
          <w:sz w:val="24"/>
          <w:szCs w:val="24"/>
          <w:shd w:val="clear" w:color="auto" w:fill="FFFFFF"/>
        </w:rPr>
      </w:pP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both"/>
      </w:pPr>
      <w:r w:rsidRPr="00734DE5">
        <w:t>Выбор профессии, таким образом, представляется сложным компромиссом между материальными стимулами, социальными ожиданиями и личными интересами. Молодые люди стремятся найти баланс между финансовой стабильностью, возможностью профессионального развития и удовлетворением от своей деятельности.</w:t>
      </w:r>
    </w:p>
    <w:p w:rsidR="00414CB4" w:rsidRPr="00734DE5" w:rsidRDefault="00414CB4" w:rsidP="00734D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4DE5">
        <w:rPr>
          <w:rFonts w:ascii="Times New Roman" w:hAnsi="Times New Roman" w:cs="Times New Roman"/>
          <w:sz w:val="24"/>
          <w:szCs w:val="24"/>
        </w:rPr>
        <w:t xml:space="preserve">Выбор профессии важен в процессе самоопределения молодежи. </w:t>
      </w:r>
      <w:r w:rsidRPr="00734DE5">
        <w:rPr>
          <w:rFonts w:ascii="Times New Roman" w:hAnsi="Times New Roman" w:cs="Times New Roman"/>
          <w:bCs/>
          <w:sz w:val="24"/>
          <w:szCs w:val="24"/>
        </w:rPr>
        <w:t>Большинство школьников в качестве наиболее доходными профессиями считают: предприниматель/бизнесмен (53,6%) и специалист в области компьютерных технологий (IT-технологии, защита информации, интернет) - 47,1% (рис. 2). Эт</w:t>
      </w:r>
      <w:r w:rsidRPr="00734DE5">
        <w:rPr>
          <w:rFonts w:ascii="Times New Roman" w:hAnsi="Times New Roman" w:cs="Times New Roman"/>
          <w:sz w:val="24"/>
          <w:szCs w:val="24"/>
        </w:rPr>
        <w:t>о может отражать растущую роль технологического сектора в экономике и увеличение числа людей, занимающихся собственным бизнесом [2]. Медицина и образование традиционно привлекают школьников своей социальной значимостью и возможностью помогать людям.</w:t>
      </w:r>
    </w:p>
    <w:p w:rsidR="00414CB4" w:rsidRPr="00734DE5" w:rsidRDefault="00414CB4" w:rsidP="00734DE5">
      <w:pPr>
        <w:spacing w:after="0" w:line="240" w:lineRule="auto"/>
        <w:jc w:val="center"/>
        <w:outlineLvl w:val="1"/>
        <w:rPr>
          <w:sz w:val="24"/>
          <w:szCs w:val="24"/>
        </w:rPr>
      </w:pPr>
      <w:r w:rsidRPr="00734DE5">
        <w:rPr>
          <w:b/>
          <w:noProof/>
          <w:sz w:val="24"/>
          <w:szCs w:val="24"/>
        </w:rPr>
        <w:lastRenderedPageBreak/>
        <w:drawing>
          <wp:inline distT="0" distB="0" distL="0" distR="0">
            <wp:extent cx="5741670" cy="6188075"/>
            <wp:effectExtent l="0" t="0" r="0" b="0"/>
            <wp:docPr id="16" name="Объект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414CB4" w:rsidRPr="00734DE5" w:rsidRDefault="00414CB4" w:rsidP="00734DE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34DE5">
        <w:rPr>
          <w:rFonts w:ascii="Times New Roman" w:hAnsi="Times New Roman" w:cs="Times New Roman"/>
          <w:sz w:val="24"/>
          <w:szCs w:val="24"/>
        </w:rPr>
        <w:t>Рисунок 2 - Ответы на вопрос "</w:t>
      </w:r>
      <w:r w:rsidRPr="00734DE5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Какие профессии Вы считаете в настоящее время наиболее доходными? Назовите три самые доходные профессии?</w:t>
      </w:r>
      <w:r w:rsidRPr="00734DE5">
        <w:rPr>
          <w:rFonts w:ascii="Times New Roman" w:hAnsi="Times New Roman" w:cs="Times New Roman"/>
          <w:sz w:val="24"/>
          <w:szCs w:val="24"/>
        </w:rPr>
        <w:t>"(несколько вариантов ответа) (в % к числу опрошенных)</w:t>
      </w:r>
    </w:p>
    <w:p w:rsidR="00414CB4" w:rsidRPr="00734DE5" w:rsidRDefault="00414CB4" w:rsidP="00734DE5">
      <w:pPr>
        <w:spacing w:after="0" w:line="240" w:lineRule="auto"/>
        <w:jc w:val="both"/>
        <w:rPr>
          <w:rFonts w:ascii="Times New Roman" w:hAnsi="Times New Roman" w:cs="Times New Roman"/>
        </w:rPr>
      </w:pPr>
      <w:r w:rsidRPr="00734DE5">
        <w:rPr>
          <w:rFonts w:ascii="Times New Roman" w:hAnsi="Times New Roman" w:cs="Times New Roman"/>
        </w:rPr>
        <w:t>Источник: данные авторского социологического опроса</w:t>
      </w:r>
    </w:p>
    <w:p w:rsidR="00414CB4" w:rsidRPr="00734DE5" w:rsidRDefault="00414CB4" w:rsidP="00734D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14CB4" w:rsidRPr="00734DE5" w:rsidRDefault="00414CB4" w:rsidP="00734D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4CB4">
        <w:rPr>
          <w:rFonts w:ascii="Times New Roman" w:eastAsia="Times New Roman" w:hAnsi="Times New Roman" w:cs="Times New Roman"/>
          <w:sz w:val="24"/>
          <w:szCs w:val="24"/>
        </w:rPr>
        <w:t>При этом наблюдается низкий интерес к сельскохозяйственным специальностям</w:t>
      </w:r>
      <w:r w:rsidRPr="00734DE5">
        <w:rPr>
          <w:rFonts w:ascii="Times New Roman" w:eastAsia="Times New Roman" w:hAnsi="Times New Roman" w:cs="Times New Roman"/>
          <w:sz w:val="24"/>
          <w:szCs w:val="24"/>
        </w:rPr>
        <w:t xml:space="preserve"> (2,6%)</w:t>
      </w:r>
      <w:r w:rsidRPr="00414CB4">
        <w:rPr>
          <w:rFonts w:ascii="Times New Roman" w:eastAsia="Times New Roman" w:hAnsi="Times New Roman" w:cs="Times New Roman"/>
          <w:sz w:val="24"/>
          <w:szCs w:val="24"/>
        </w:rPr>
        <w:t>, что может быть связано с недостаточной информированностью о перспективах развития сельского хозяйства в регионе</w:t>
      </w:r>
      <w:r w:rsidRPr="00734DE5">
        <w:rPr>
          <w:rFonts w:ascii="Times New Roman" w:eastAsia="Times New Roman" w:hAnsi="Times New Roman" w:cs="Times New Roman"/>
          <w:sz w:val="24"/>
          <w:szCs w:val="24"/>
        </w:rPr>
        <w:t xml:space="preserve"> [1]</w:t>
      </w:r>
      <w:r w:rsidRPr="00414CB4">
        <w:rPr>
          <w:rFonts w:ascii="Times New Roman" w:eastAsia="Times New Roman" w:hAnsi="Times New Roman" w:cs="Times New Roman"/>
          <w:sz w:val="24"/>
          <w:szCs w:val="24"/>
        </w:rPr>
        <w:t xml:space="preserve">. Для повышения интереса школьников к сельскохозяйственным специальностям необходимо проводить </w:t>
      </w:r>
      <w:proofErr w:type="spellStart"/>
      <w:r w:rsidRPr="00414CB4">
        <w:rPr>
          <w:rFonts w:ascii="Times New Roman" w:eastAsia="Times New Roman" w:hAnsi="Times New Roman" w:cs="Times New Roman"/>
          <w:sz w:val="24"/>
          <w:szCs w:val="24"/>
        </w:rPr>
        <w:t>профориентационную</w:t>
      </w:r>
      <w:proofErr w:type="spellEnd"/>
      <w:r w:rsidRPr="00414CB4">
        <w:rPr>
          <w:rFonts w:ascii="Times New Roman" w:eastAsia="Times New Roman" w:hAnsi="Times New Roman" w:cs="Times New Roman"/>
          <w:sz w:val="24"/>
          <w:szCs w:val="24"/>
        </w:rPr>
        <w:t xml:space="preserve"> работу, направленную на ознакомление с современными технологиями в сельском хозяйстве, возможностями для развития собственного бизнеса в этой сфере, а также с перспективами трудоустройства в сельскохозяйственных предприятиях региона.</w:t>
      </w:r>
    </w:p>
    <w:p w:rsidR="00414CB4" w:rsidRPr="00734DE5" w:rsidRDefault="00414CB4" w:rsidP="00734D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34DE5">
        <w:rPr>
          <w:rFonts w:ascii="Times New Roman" w:hAnsi="Times New Roman" w:cs="Times New Roman"/>
          <w:sz w:val="24"/>
          <w:szCs w:val="24"/>
        </w:rPr>
        <w:t>Представленные данные опроса демонстрируют неоднородность оценки респондентами своих знаний о региональном рынке труда. Наибольшая доля участников (65,9%) (рис. 3) оценивает свои знания как средние, что говорит о базовом понимании ситуации, но, возможно, отсутствии глубокой экспертизы или актуальной информации.</w:t>
      </w: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both"/>
      </w:pPr>
      <w:r w:rsidRPr="00734DE5">
        <w:lastRenderedPageBreak/>
        <w:drawing>
          <wp:inline distT="0" distB="0" distL="0" distR="0">
            <wp:extent cx="5741582" cy="1850065"/>
            <wp:effectExtent l="0" t="0" r="0" b="0"/>
            <wp:docPr id="8" name="Объект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both"/>
      </w:pPr>
    </w:p>
    <w:p w:rsidR="00414CB4" w:rsidRPr="00734DE5" w:rsidRDefault="00414CB4" w:rsidP="00734DE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34DE5">
        <w:rPr>
          <w:rFonts w:ascii="Times New Roman" w:hAnsi="Times New Roman" w:cs="Times New Roman"/>
          <w:sz w:val="24"/>
          <w:szCs w:val="24"/>
        </w:rPr>
        <w:t>Рисунок 3 - Ответы на вопрос "Как Вы оцениваете свои знания о ситуации на региональном рынке труда</w:t>
      </w:r>
      <w:r w:rsidRPr="00734DE5">
        <w:rPr>
          <w:rFonts w:ascii="Times New Roman" w:hAnsi="Times New Roman" w:cs="Times New Roman"/>
          <w:spacing w:val="3"/>
          <w:sz w:val="24"/>
          <w:szCs w:val="24"/>
          <w:shd w:val="clear" w:color="auto" w:fill="FFFFFF"/>
        </w:rPr>
        <w:t>?</w:t>
      </w:r>
      <w:r w:rsidRPr="00734DE5">
        <w:rPr>
          <w:rFonts w:ascii="Times New Roman" w:hAnsi="Times New Roman" w:cs="Times New Roman"/>
          <w:sz w:val="24"/>
          <w:szCs w:val="24"/>
        </w:rPr>
        <w:t>" (один вариант ответа) (в % к числу опрошенных)</w:t>
      </w:r>
    </w:p>
    <w:p w:rsidR="00414CB4" w:rsidRPr="00734DE5" w:rsidRDefault="00414CB4" w:rsidP="00734D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14CB4" w:rsidRPr="00734DE5" w:rsidRDefault="00414CB4" w:rsidP="00734DE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34DE5">
        <w:rPr>
          <w:rFonts w:ascii="Times New Roman" w:hAnsi="Times New Roman" w:cs="Times New Roman"/>
          <w:sz w:val="20"/>
          <w:szCs w:val="20"/>
        </w:rPr>
        <w:t>Источник: данные авторского социологического опроса</w:t>
      </w:r>
    </w:p>
    <w:p w:rsidR="00414CB4" w:rsidRPr="00734DE5" w:rsidRDefault="00414CB4" w:rsidP="00734D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both"/>
      </w:pPr>
      <w:r w:rsidRPr="00734DE5">
        <w:t>Значительная часть опрошенных (12,6%) оценивает свои знания ниже среднего. Это может свидетельствовать о недостатке информации о вакансиях, требованиях работодателей, уровне заработной платы и других ключевых аспектах рынка труда. В то же время, 4,1% респондентов признают свои знания очень низкими, что может быть связано с отсутствием опыта работы, недавним переездом в регион или другими факторами.</w:t>
      </w: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both"/>
      </w:pPr>
      <w:r w:rsidRPr="00734DE5">
        <w:t xml:space="preserve">Относительно небольшая доля участников опроса (11,1%) оценивает свои знания как высокие. Эти респонденты, вероятно, активно интересуются рынком труда, следят за тенденциями и обладают актуальной информацией. Лишь 6,3% участников считают свои знания очень высокими, что может говорить об их профессиональной деятельности в сфере HR, </w:t>
      </w:r>
      <w:proofErr w:type="spellStart"/>
      <w:r w:rsidRPr="00734DE5">
        <w:t>рекрутинга</w:t>
      </w:r>
      <w:proofErr w:type="spellEnd"/>
      <w:r w:rsidRPr="00734DE5">
        <w:t xml:space="preserve"> или аналитики рынка труда.</w:t>
      </w: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both"/>
      </w:pPr>
      <w:r w:rsidRPr="00734DE5">
        <w:t>В целом, результаты опроса подчеркивают необходимость повышения информированности населения о региональном рынке труда, предоставления актуальной и доступной информации о вакансиях, возможностях переквалификации и других аспектах трудоустройства. Это может способствовать повышению конкурентоспособности соискателей и более эффективному взаимодействию между работодателями и работниками.</w:t>
      </w: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both"/>
      </w:pPr>
      <w:r w:rsidRPr="00734DE5">
        <w:t>Исследование подчеркивает важность осознанного подхода к выбору профессии, необходимость учитывать широкий спектр факторов и не ограничиваться только материальными стимулами [3].</w:t>
      </w: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both"/>
      </w:pPr>
      <w:r w:rsidRPr="00734DE5">
        <w:t xml:space="preserve">Важную роль в формировании этих ориентиров играют образовательные учреждения. Школы должны обеспечивать не только качественное общее образование, но и предоставлять учащимся возможности для ознакомления с различными профессиями, развития профессиональных навыков и участия в </w:t>
      </w:r>
      <w:proofErr w:type="spellStart"/>
      <w:r w:rsidRPr="00734DE5">
        <w:t>профориентационных</w:t>
      </w:r>
      <w:proofErr w:type="spellEnd"/>
      <w:r w:rsidRPr="00734DE5">
        <w:t xml:space="preserve"> мероприятиях.</w:t>
      </w: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both"/>
      </w:pPr>
      <w:r w:rsidRPr="00734DE5">
        <w:t xml:space="preserve">Сотрудничество с предприятиями и организациями муниципального района является ключевым элементом эффективной </w:t>
      </w:r>
      <w:proofErr w:type="spellStart"/>
      <w:r w:rsidRPr="00734DE5">
        <w:t>профориентационной</w:t>
      </w:r>
      <w:proofErr w:type="spellEnd"/>
      <w:r w:rsidRPr="00734DE5">
        <w:t xml:space="preserve"> работы. Экскурсии на предприятия, мастер-классы от специалистов, участие в профессиональных пробах и стажировках позволяют школьникам получить реальное представление о различных профессиях и требованиях, предъявляемых к работникам.</w:t>
      </w: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both"/>
      </w:pPr>
      <w:r w:rsidRPr="00734DE5">
        <w:t xml:space="preserve">В конечном итоге, формирование профессиональных ориентиров – это непрерывный процесс, требующий совместных усилий школы, семьи, предприятий и самих учащихся. Целью этого процесса является не просто выбор конкретной профессии, а развитие у школьников способности к самоопределению, планированию карьеры и успешной адаптации к меняющимся условиям рынка труда. В процессе профессионального самоопределения школьникам необходима поддержка родителей, педагогов и психологов. Индивидуальные консультации, </w:t>
      </w:r>
      <w:proofErr w:type="spellStart"/>
      <w:r w:rsidRPr="00734DE5">
        <w:t>профориентационное</w:t>
      </w:r>
      <w:proofErr w:type="spellEnd"/>
      <w:r w:rsidRPr="00734DE5">
        <w:t xml:space="preserve"> тестирование и помощь в планировании образовательной траектории способствуют осознанному выбору профессии и успешной адаптации к будущей трудовой деятельности.</w:t>
      </w:r>
    </w:p>
    <w:p w:rsidR="00414CB4" w:rsidRPr="00414CB4" w:rsidRDefault="00414CB4" w:rsidP="00734DE5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4CB4">
        <w:rPr>
          <w:rFonts w:ascii="Times New Roman" w:eastAsia="Times New Roman" w:hAnsi="Times New Roman" w:cs="Times New Roman"/>
          <w:sz w:val="24"/>
          <w:szCs w:val="24"/>
        </w:rPr>
        <w:lastRenderedPageBreak/>
        <w:t>Полученные результаты могут быть использованы для разработки программ профессиональной ориентации школьников, учитывающих их интересы и потребности, а также для формирования стратегии развития образования в Республике Башкортостан.</w:t>
      </w: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both"/>
      </w:pP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center"/>
        <w:rPr>
          <w:b/>
        </w:rPr>
      </w:pPr>
      <w:r w:rsidRPr="00734DE5">
        <w:rPr>
          <w:b/>
        </w:rPr>
        <w:t>Библиографический список</w:t>
      </w: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both"/>
      </w:pPr>
      <w:r w:rsidRPr="00734DE5">
        <w:t xml:space="preserve">1. </w:t>
      </w:r>
      <w:proofErr w:type="spellStart"/>
      <w:r w:rsidRPr="00734DE5">
        <w:t>Гайфуллин</w:t>
      </w:r>
      <w:proofErr w:type="spellEnd"/>
      <w:r w:rsidRPr="00734DE5">
        <w:t xml:space="preserve"> А. Ю. Профессиональные ориентиры сельской молодежи: социологический анализ // Уфимский гуманитарный научный форум. 2024. №3(19). С. 174-187. DOI 10.47309/2713-2358-2024-3-174-187.</w:t>
      </w:r>
    </w:p>
    <w:p w:rsidR="00414CB4" w:rsidRPr="00734DE5" w:rsidRDefault="00414CB4" w:rsidP="00734DE5">
      <w:pPr>
        <w:pStyle w:val="a3"/>
        <w:spacing w:before="0" w:beforeAutospacing="0" w:after="0" w:afterAutospacing="0"/>
        <w:ind w:firstLine="709"/>
        <w:jc w:val="both"/>
      </w:pPr>
      <w:r w:rsidRPr="00734DE5">
        <w:t xml:space="preserve">2. Курганова Н. А.,  Раскина И. И. Профессиональное самоопределение школьников в IT-сфере на примере профессиональной пробы «Гейм-дизайнер» // Вестник Сибирского института бизнеса и информационных технологий. 2024. Т. 13, № 3. С. 49-56. DOI 10.24412/2225-8264-2024-3-803. </w:t>
      </w:r>
    </w:p>
    <w:p w:rsidR="00414CB4" w:rsidRPr="00414CB4" w:rsidRDefault="00414CB4" w:rsidP="00414CB4">
      <w:pPr>
        <w:pStyle w:val="a3"/>
        <w:spacing w:before="0" w:beforeAutospacing="0" w:after="0" w:afterAutospacing="0"/>
        <w:ind w:firstLine="709"/>
        <w:jc w:val="both"/>
      </w:pPr>
      <w:r>
        <w:t xml:space="preserve">3. </w:t>
      </w:r>
      <w:proofErr w:type="spellStart"/>
      <w:r w:rsidRPr="00414CB4">
        <w:t>Уварина</w:t>
      </w:r>
      <w:proofErr w:type="spellEnd"/>
      <w:r w:rsidRPr="00414CB4">
        <w:t xml:space="preserve"> Н. В.</w:t>
      </w:r>
      <w:r>
        <w:t xml:space="preserve">, </w:t>
      </w:r>
      <w:r w:rsidRPr="00414CB4">
        <w:t xml:space="preserve"> Толстова Г. Б. Профессиональное самоопределение школьников: теоретическое обоснование и практический опыт реализации</w:t>
      </w:r>
      <w:r>
        <w:t xml:space="preserve"> </w:t>
      </w:r>
      <w:r w:rsidRPr="00414CB4">
        <w:t xml:space="preserve">// Современная высшая школа: инновационный аспект.  2023.  Т. 15, № 1(59).  С. 149-158. </w:t>
      </w:r>
    </w:p>
    <w:p w:rsidR="00414CB4" w:rsidRDefault="00414CB4" w:rsidP="00414CB4">
      <w:pPr>
        <w:pStyle w:val="a3"/>
        <w:spacing w:before="0" w:beforeAutospacing="0" w:after="0" w:afterAutospacing="0"/>
        <w:ind w:firstLine="709"/>
        <w:jc w:val="center"/>
        <w:rPr>
          <w:b/>
        </w:rPr>
      </w:pPr>
    </w:p>
    <w:p w:rsidR="00414CB4" w:rsidRDefault="00414CB4" w:rsidP="00414CB4">
      <w:pPr>
        <w:pStyle w:val="a3"/>
        <w:spacing w:before="0" w:beforeAutospacing="0" w:after="0" w:afterAutospacing="0"/>
        <w:ind w:firstLine="709"/>
        <w:jc w:val="center"/>
        <w:rPr>
          <w:b/>
        </w:rPr>
      </w:pPr>
      <w:r>
        <w:rPr>
          <w:b/>
        </w:rPr>
        <w:t>Информация об авторе</w:t>
      </w:r>
    </w:p>
    <w:p w:rsidR="00414CB4" w:rsidRDefault="00414CB4" w:rsidP="00414CB4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14CB4">
        <w:rPr>
          <w:rFonts w:ascii="Times New Roman" w:hAnsi="Times New Roman" w:cs="Times New Roman"/>
          <w:b/>
          <w:bCs/>
          <w:iCs/>
          <w:sz w:val="24"/>
          <w:szCs w:val="24"/>
        </w:rPr>
        <w:t>Гайфуллин</w:t>
      </w:r>
      <w:proofErr w:type="spellEnd"/>
      <w:r w:rsidRPr="00414CB4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Андрей Юрьевич (Россия, Уфа) –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Pr="00414CB4">
        <w:rPr>
          <w:rFonts w:ascii="Times New Roman" w:hAnsi="Times New Roman" w:cs="Times New Roman"/>
          <w:sz w:val="24"/>
          <w:szCs w:val="24"/>
        </w:rPr>
        <w:t xml:space="preserve">кандидат социологических наук, доцент, заведующий кафедрой социологии и работы с молодежью, ФГБОУ ВО «Уфимский университет науки и технологий» (450076, Россия, г. Уфа, ул. Карла Маркса, д. 3/4; </w:t>
      </w:r>
      <w:r w:rsidRPr="00414CB4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414CB4">
        <w:rPr>
          <w:rFonts w:ascii="Times New Roman" w:hAnsi="Times New Roman" w:cs="Times New Roman"/>
          <w:sz w:val="24"/>
          <w:szCs w:val="24"/>
        </w:rPr>
        <w:t>-</w:t>
      </w:r>
      <w:r w:rsidRPr="00414CB4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414CB4">
        <w:rPr>
          <w:rFonts w:ascii="Times New Roman" w:hAnsi="Times New Roman" w:cs="Times New Roman"/>
          <w:sz w:val="24"/>
          <w:szCs w:val="24"/>
        </w:rPr>
        <w:t xml:space="preserve">:, </w:t>
      </w:r>
      <w:hyperlink r:id="rId8" w:history="1">
        <w:r w:rsidRPr="00414CB4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gayfullin</w:t>
        </w:r>
        <w:r w:rsidRPr="00414CB4">
          <w:rPr>
            <w:rStyle w:val="a7"/>
            <w:rFonts w:ascii="Times New Roman" w:hAnsi="Times New Roman" w:cs="Times New Roman"/>
            <w:sz w:val="24"/>
            <w:szCs w:val="24"/>
          </w:rPr>
          <w:t>_</w:t>
        </w:r>
        <w:r w:rsidRPr="00414CB4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a</w:t>
        </w:r>
        <w:r w:rsidRPr="00414CB4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414CB4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414CB4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414CB4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414CB4">
        <w:rPr>
          <w:rFonts w:ascii="Times New Roman" w:hAnsi="Times New Roman" w:cs="Times New Roman"/>
          <w:sz w:val="24"/>
          <w:szCs w:val="24"/>
        </w:rPr>
        <w:t>)</w:t>
      </w:r>
    </w:p>
    <w:p w:rsidR="00414CB4" w:rsidRPr="00414CB4" w:rsidRDefault="00414CB4" w:rsidP="00414CB4">
      <w:pPr>
        <w:pStyle w:val="a3"/>
        <w:spacing w:before="0" w:beforeAutospacing="0" w:after="0" w:afterAutospacing="0"/>
        <w:ind w:firstLine="709"/>
        <w:jc w:val="right"/>
        <w:rPr>
          <w:b/>
          <w:lang w:val="en-US"/>
        </w:rPr>
      </w:pPr>
      <w:proofErr w:type="spellStart"/>
      <w:r w:rsidRPr="00414CB4">
        <w:rPr>
          <w:b/>
          <w:lang w:val="en-US"/>
        </w:rPr>
        <w:t>Ga</w:t>
      </w:r>
      <w:r>
        <w:rPr>
          <w:b/>
          <w:lang w:val="en-US"/>
        </w:rPr>
        <w:t>y</w:t>
      </w:r>
      <w:r w:rsidRPr="00414CB4">
        <w:rPr>
          <w:b/>
          <w:lang w:val="en-US"/>
        </w:rPr>
        <w:t>fullin</w:t>
      </w:r>
      <w:proofErr w:type="spellEnd"/>
      <w:r w:rsidRPr="00414CB4">
        <w:rPr>
          <w:b/>
          <w:lang w:val="en-US"/>
        </w:rPr>
        <w:t xml:space="preserve"> A.Y.</w:t>
      </w:r>
    </w:p>
    <w:p w:rsidR="00414CB4" w:rsidRPr="00414CB4" w:rsidRDefault="00414CB4" w:rsidP="00414CB4">
      <w:pPr>
        <w:pStyle w:val="a3"/>
        <w:spacing w:before="0" w:beforeAutospacing="0" w:after="0" w:afterAutospacing="0"/>
        <w:ind w:firstLine="709"/>
        <w:jc w:val="center"/>
        <w:rPr>
          <w:b/>
          <w:lang w:val="en-US"/>
        </w:rPr>
      </w:pPr>
      <w:r w:rsidRPr="00414CB4">
        <w:rPr>
          <w:b/>
          <w:lang w:val="en-US"/>
        </w:rPr>
        <w:t>PROFESSIONAL GUIDELINES FOR SCHOOLCHILDREN LIVING IN MUNICIPAL DISTRICTS OF THE SUBJECTS OF THE RUSSIAN FEDERATION (ON THE EXAMPLE OF THE REPUBLIC OF BASHKORTOSTAN)</w:t>
      </w:r>
    </w:p>
    <w:p w:rsidR="00414CB4" w:rsidRPr="00414CB4" w:rsidRDefault="00414CB4" w:rsidP="00414CB4">
      <w:pPr>
        <w:pStyle w:val="a3"/>
        <w:spacing w:before="0" w:beforeAutospacing="0" w:after="0" w:afterAutospacing="0"/>
        <w:ind w:firstLine="709"/>
        <w:jc w:val="both"/>
        <w:rPr>
          <w:b/>
          <w:lang w:val="en-US"/>
        </w:rPr>
      </w:pPr>
    </w:p>
    <w:p w:rsidR="00414CB4" w:rsidRPr="00414CB4" w:rsidRDefault="00414CB4" w:rsidP="00414CB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>
        <w:rPr>
          <w:b/>
          <w:lang w:val="en-US"/>
        </w:rPr>
        <w:t>Abstract</w:t>
      </w:r>
      <w:r w:rsidRPr="00414CB4">
        <w:rPr>
          <w:b/>
          <w:lang w:val="en-US"/>
        </w:rPr>
        <w:t xml:space="preserve">. </w:t>
      </w:r>
      <w:r w:rsidRPr="00414CB4">
        <w:rPr>
          <w:lang w:val="en-US"/>
        </w:rPr>
        <w:t xml:space="preserve">The article analyzes the professional orientations of schoolchildren living in the municipal district of </w:t>
      </w:r>
      <w:proofErr w:type="spellStart"/>
      <w:r w:rsidRPr="00414CB4">
        <w:rPr>
          <w:lang w:val="en-US"/>
        </w:rPr>
        <w:t>Tuymazinsky</w:t>
      </w:r>
      <w:proofErr w:type="spellEnd"/>
      <w:r w:rsidRPr="00414CB4">
        <w:rPr>
          <w:lang w:val="en-US"/>
        </w:rPr>
        <w:t xml:space="preserve"> district of the Republic of Bashkortostan. The criteria of prestige of professions, the demand for various specialties among schoolchildren are considered.</w:t>
      </w:r>
    </w:p>
    <w:p w:rsidR="00414CB4" w:rsidRDefault="00414CB4" w:rsidP="00414CB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414CB4">
        <w:rPr>
          <w:b/>
          <w:lang w:val="en-US"/>
        </w:rPr>
        <w:t xml:space="preserve">Keywords: </w:t>
      </w:r>
      <w:r w:rsidRPr="00414CB4">
        <w:rPr>
          <w:lang w:val="en-US"/>
        </w:rPr>
        <w:t xml:space="preserve">prestige of professions, professional orientation, professional choice, schoolchildren, municipal district, Republic of </w:t>
      </w:r>
      <w:r>
        <w:rPr>
          <w:lang w:val="en-US"/>
        </w:rPr>
        <w:t xml:space="preserve">Bashkortostan </w:t>
      </w:r>
      <w:proofErr w:type="spellStart"/>
      <w:r>
        <w:rPr>
          <w:lang w:val="en-US"/>
        </w:rPr>
        <w:t>Bibliographi</w:t>
      </w:r>
      <w:proofErr w:type="spellEnd"/>
      <w:r>
        <w:rPr>
          <w:lang w:val="en-US"/>
        </w:rPr>
        <w:t>/</w:t>
      </w:r>
    </w:p>
    <w:p w:rsidR="00414CB4" w:rsidRDefault="00414CB4" w:rsidP="00414CB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</w:p>
    <w:p w:rsidR="00414CB4" w:rsidRDefault="00414CB4" w:rsidP="00414CB4">
      <w:pPr>
        <w:pStyle w:val="a3"/>
        <w:spacing w:before="0" w:beforeAutospacing="0" w:after="0" w:afterAutospacing="0"/>
        <w:ind w:firstLine="709"/>
        <w:jc w:val="center"/>
        <w:rPr>
          <w:b/>
          <w:lang w:val="en-US"/>
        </w:rPr>
      </w:pPr>
      <w:r>
        <w:rPr>
          <w:b/>
          <w:lang w:val="en-US"/>
        </w:rPr>
        <w:t>A</w:t>
      </w:r>
      <w:proofErr w:type="spellStart"/>
      <w:r w:rsidRPr="00414CB4">
        <w:rPr>
          <w:b/>
        </w:rPr>
        <w:t>bout</w:t>
      </w:r>
      <w:proofErr w:type="spellEnd"/>
      <w:r w:rsidRPr="00414CB4">
        <w:rPr>
          <w:b/>
        </w:rPr>
        <w:t xml:space="preserve"> </w:t>
      </w:r>
      <w:proofErr w:type="spellStart"/>
      <w:r w:rsidRPr="00414CB4">
        <w:rPr>
          <w:b/>
        </w:rPr>
        <w:t>the</w:t>
      </w:r>
      <w:proofErr w:type="spellEnd"/>
      <w:r w:rsidRPr="00414CB4">
        <w:rPr>
          <w:b/>
        </w:rPr>
        <w:t xml:space="preserve"> </w:t>
      </w:r>
      <w:proofErr w:type="spellStart"/>
      <w:r w:rsidRPr="00414CB4">
        <w:rPr>
          <w:b/>
        </w:rPr>
        <w:t>author</w:t>
      </w:r>
      <w:proofErr w:type="spellEnd"/>
    </w:p>
    <w:p w:rsidR="00414CB4" w:rsidRPr="00414CB4" w:rsidRDefault="00414CB4" w:rsidP="00414CB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proofErr w:type="spellStart"/>
      <w:r w:rsidRPr="00414CB4">
        <w:rPr>
          <w:rStyle w:val="ezkurwreuab5ozgtqnkl"/>
          <w:b/>
          <w:lang w:val="en-US"/>
        </w:rPr>
        <w:t>Gayfullin</w:t>
      </w:r>
      <w:proofErr w:type="spellEnd"/>
      <w:r w:rsidRPr="00414CB4">
        <w:rPr>
          <w:b/>
          <w:lang w:val="en-US"/>
        </w:rPr>
        <w:t xml:space="preserve"> </w:t>
      </w:r>
      <w:proofErr w:type="spellStart"/>
      <w:r w:rsidRPr="00414CB4">
        <w:rPr>
          <w:rStyle w:val="ezkurwreuab5ozgtqnkl"/>
          <w:b/>
          <w:lang w:val="en-US"/>
        </w:rPr>
        <w:t>Andrey</w:t>
      </w:r>
      <w:proofErr w:type="spellEnd"/>
      <w:r w:rsidRPr="00414CB4">
        <w:rPr>
          <w:b/>
          <w:lang w:val="en-US"/>
        </w:rPr>
        <w:t xml:space="preserve"> </w:t>
      </w:r>
      <w:proofErr w:type="spellStart"/>
      <w:r w:rsidRPr="00414CB4">
        <w:rPr>
          <w:rStyle w:val="ezkurwreuab5ozgtqnkl"/>
          <w:b/>
          <w:lang w:val="en-US"/>
        </w:rPr>
        <w:t>Yurievich</w:t>
      </w:r>
      <w:proofErr w:type="spellEnd"/>
      <w:r w:rsidRPr="00414CB4">
        <w:rPr>
          <w:b/>
          <w:lang w:val="en-US"/>
        </w:rPr>
        <w:t xml:space="preserve"> (Ufa, Russia)</w:t>
      </w:r>
      <w:r w:rsidRPr="00414CB4">
        <w:rPr>
          <w:lang w:val="en-US"/>
        </w:rPr>
        <w:t xml:space="preserve"> – Candidate of Sociological Sciences, Associate Professor, Head of the Department of Sociology and Youth Work, Ufa University of Science and Technology (3/4 Karl Marx St., Ufa, 450076, Russia; e-mail:, gayfullin_a@mail.ru)</w:t>
      </w:r>
    </w:p>
    <w:p w:rsidR="00414CB4" w:rsidRDefault="00414CB4" w:rsidP="00414CB4">
      <w:pPr>
        <w:pStyle w:val="a3"/>
        <w:spacing w:before="0" w:beforeAutospacing="0" w:after="0" w:afterAutospacing="0"/>
        <w:ind w:firstLine="709"/>
        <w:jc w:val="center"/>
        <w:rPr>
          <w:b/>
          <w:lang w:val="en-US"/>
        </w:rPr>
      </w:pPr>
    </w:p>
    <w:p w:rsidR="00414CB4" w:rsidRPr="00414CB4" w:rsidRDefault="00414CB4" w:rsidP="00414CB4">
      <w:pPr>
        <w:pStyle w:val="a3"/>
        <w:spacing w:before="0" w:beforeAutospacing="0" w:after="0" w:afterAutospacing="0"/>
        <w:ind w:firstLine="709"/>
        <w:jc w:val="center"/>
        <w:rPr>
          <w:b/>
          <w:lang w:val="en-US"/>
        </w:rPr>
      </w:pPr>
      <w:r w:rsidRPr="00414CB4">
        <w:rPr>
          <w:b/>
          <w:bCs/>
          <w:lang w:val="en-US"/>
        </w:rPr>
        <w:t>References</w:t>
      </w:r>
    </w:p>
    <w:p w:rsidR="00414CB4" w:rsidRPr="00414CB4" w:rsidRDefault="00414CB4" w:rsidP="00414CB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414CB4">
        <w:rPr>
          <w:lang w:val="en-US"/>
        </w:rPr>
        <w:t xml:space="preserve">1. </w:t>
      </w:r>
      <w:proofErr w:type="spellStart"/>
      <w:r w:rsidRPr="00414CB4">
        <w:rPr>
          <w:lang w:val="en-US"/>
        </w:rPr>
        <w:t>Gaifullin</w:t>
      </w:r>
      <w:proofErr w:type="spellEnd"/>
      <w:r w:rsidRPr="00414CB4">
        <w:rPr>
          <w:lang w:val="en-US"/>
        </w:rPr>
        <w:t xml:space="preserve"> A. Y. Professional guidelines for rural youth: a sociological analysis // Ufa Humanitarian Scientific Forum. 2024. No. 3(19). Pp. 174-187. DOI 10.47309/2713-2358-2024-3-174-187.</w:t>
      </w:r>
    </w:p>
    <w:p w:rsidR="00414CB4" w:rsidRPr="00414CB4" w:rsidRDefault="00414CB4" w:rsidP="00414CB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414CB4">
        <w:rPr>
          <w:lang w:val="en-US"/>
        </w:rPr>
        <w:t xml:space="preserve">2. </w:t>
      </w:r>
      <w:proofErr w:type="spellStart"/>
      <w:r w:rsidRPr="00414CB4">
        <w:rPr>
          <w:lang w:val="en-US"/>
        </w:rPr>
        <w:t>Kurganova</w:t>
      </w:r>
      <w:proofErr w:type="spellEnd"/>
      <w:r w:rsidRPr="00414CB4">
        <w:rPr>
          <w:lang w:val="en-US"/>
        </w:rPr>
        <w:t xml:space="preserve"> N. A., </w:t>
      </w:r>
      <w:proofErr w:type="spellStart"/>
      <w:r w:rsidRPr="00414CB4">
        <w:rPr>
          <w:lang w:val="en-US"/>
        </w:rPr>
        <w:t>Raskina</w:t>
      </w:r>
      <w:proofErr w:type="spellEnd"/>
      <w:r w:rsidRPr="00414CB4">
        <w:rPr>
          <w:lang w:val="en-US"/>
        </w:rPr>
        <w:t xml:space="preserve"> I. I. Professional self-determination of schoolchildren in the IT field using the example of the professional test "Game designer" // Bulletin of the Siberian Institute of Business and Information Technology. 2024. Vol. 13, No. 3. Pp. 49-56. DOI 10.24412/2225-8264-2024-3-803. </w:t>
      </w:r>
    </w:p>
    <w:p w:rsidR="00414CB4" w:rsidRPr="00414CB4" w:rsidRDefault="00414CB4">
      <w:pPr>
        <w:pStyle w:val="a3"/>
        <w:spacing w:before="0" w:beforeAutospacing="0" w:after="0" w:afterAutospacing="0"/>
        <w:ind w:firstLine="709"/>
        <w:jc w:val="both"/>
        <w:rPr>
          <w:b/>
          <w:lang w:val="en-US"/>
        </w:rPr>
      </w:pPr>
      <w:r w:rsidRPr="00414CB4">
        <w:rPr>
          <w:lang w:val="en-US"/>
        </w:rPr>
        <w:t xml:space="preserve">3. </w:t>
      </w:r>
      <w:proofErr w:type="spellStart"/>
      <w:r w:rsidRPr="00414CB4">
        <w:rPr>
          <w:lang w:val="en-US"/>
        </w:rPr>
        <w:t>Uvarina</w:t>
      </w:r>
      <w:proofErr w:type="spellEnd"/>
      <w:r w:rsidRPr="00414CB4">
        <w:rPr>
          <w:lang w:val="en-US"/>
        </w:rPr>
        <w:t xml:space="preserve"> N. V., </w:t>
      </w:r>
      <w:proofErr w:type="spellStart"/>
      <w:r w:rsidRPr="00414CB4">
        <w:rPr>
          <w:lang w:val="en-US"/>
        </w:rPr>
        <w:t>Tolstova</w:t>
      </w:r>
      <w:proofErr w:type="spellEnd"/>
      <w:r w:rsidRPr="00414CB4">
        <w:rPr>
          <w:lang w:val="en-US"/>
        </w:rPr>
        <w:t xml:space="preserve"> G. B. Professional self-determination of schoolchildren: theoretical justification and practical experience of implementation // Modern higher school: an innovative aspect.  </w:t>
      </w:r>
      <w:r w:rsidRPr="00414CB4">
        <w:t xml:space="preserve">2023. </w:t>
      </w:r>
      <w:proofErr w:type="spellStart"/>
      <w:r w:rsidRPr="00414CB4">
        <w:t>Vol</w:t>
      </w:r>
      <w:proofErr w:type="spellEnd"/>
      <w:r w:rsidRPr="00414CB4">
        <w:t xml:space="preserve">. 15, </w:t>
      </w:r>
      <w:proofErr w:type="spellStart"/>
      <w:r w:rsidRPr="00414CB4">
        <w:t>No</w:t>
      </w:r>
      <w:proofErr w:type="spellEnd"/>
      <w:r w:rsidRPr="00414CB4">
        <w:t xml:space="preserve">. 1(59). </w:t>
      </w:r>
      <w:r w:rsidRPr="00414CB4">
        <w:rPr>
          <w:lang w:val="en-US"/>
        </w:rPr>
        <w:t>P</w:t>
      </w:r>
      <w:proofErr w:type="spellStart"/>
      <w:r w:rsidRPr="00414CB4">
        <w:t>p</w:t>
      </w:r>
      <w:proofErr w:type="spellEnd"/>
      <w:r w:rsidRPr="00414CB4">
        <w:t xml:space="preserve">. 149-158. </w:t>
      </w:r>
    </w:p>
    <w:sectPr w:rsidR="00414CB4" w:rsidRPr="00414CB4" w:rsidSect="00414CB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 PS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/>
  <w:defaultTabStop w:val="708"/>
  <w:characterSpacingControl w:val="doNotCompress"/>
  <w:compat>
    <w:useFELayout/>
  </w:compat>
  <w:rsids>
    <w:rsidRoot w:val="00414CB4"/>
    <w:rsid w:val="00414CB4"/>
    <w:rsid w:val="00734DE5"/>
    <w:rsid w:val="00A457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9"/>
    <w:qFormat/>
    <w:rsid w:val="00414CB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14C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414C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14CB4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414CB4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table" w:styleId="a6">
    <w:name w:val="Table Grid"/>
    <w:basedOn w:val="a1"/>
    <w:uiPriority w:val="59"/>
    <w:rsid w:val="00414CB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rsid w:val="00414CB4"/>
    <w:rPr>
      <w:color w:val="0000FF"/>
      <w:u w:val="single"/>
    </w:rPr>
  </w:style>
  <w:style w:type="character" w:customStyle="1" w:styleId="ezkurwreuab5ozgtqnkl">
    <w:name w:val="ezkurwreuab5ozgtqnkl"/>
    <w:basedOn w:val="a0"/>
    <w:rsid w:val="00414CB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79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53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98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732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57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9450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9488336">
                      <w:marLeft w:val="84"/>
                      <w:marRight w:val="201"/>
                      <w:marTop w:val="117"/>
                      <w:marBottom w:val="268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609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1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846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530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0595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5927790">
                      <w:marLeft w:val="84"/>
                      <w:marRight w:val="201"/>
                      <w:marTop w:val="117"/>
                      <w:marBottom w:val="268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625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ayfullin_a@mail.ru" TargetMode="Externa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43806306306306375"/>
          <c:y val="0"/>
          <c:w val="0.54166666666666652"/>
          <c:h val="1"/>
        </c:manualLayout>
      </c:layout>
      <c:barChart>
        <c:barDir val="bar"/>
        <c:grouping val="clustered"/>
        <c:ser>
          <c:idx val="0"/>
          <c:order val="0"/>
          <c:spPr>
            <a:solidFill>
              <a:srgbClr val="C0C0C0"/>
            </a:solidFill>
            <a:ln w="12703">
              <a:solidFill>
                <a:srgbClr val="000000"/>
              </a:solidFill>
              <a:prstDash val="solid"/>
            </a:ln>
          </c:spPr>
          <c:dLbls>
            <c:dLbl>
              <c:idx val="4"/>
              <c:layout>
                <c:manualLayout>
                  <c:x val="3.0413125167134205E-2"/>
                  <c:y val="-1.1427871375479615E-2"/>
                </c:manualLayout>
              </c:layout>
              <c:dLblPos val="outEnd"/>
              <c:showVal val="1"/>
            </c:dLbl>
            <c:numFmt formatCode="0.0" sourceLinked="0"/>
            <c:spPr>
              <a:noFill/>
              <a:ln w="25406">
                <a:noFill/>
              </a:ln>
            </c:spPr>
            <c:txPr>
              <a:bodyPr/>
              <a:lstStyle/>
              <a:p>
                <a:pPr>
                  <a:defRPr sz="110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Val val="1"/>
          </c:dLbls>
          <c:cat>
            <c:strRef>
              <c:f>Sheet1!$B$1:$J$1</c:f>
              <c:strCache>
                <c:ptCount val="9"/>
                <c:pt idx="0">
                  <c:v>Другое</c:v>
                </c:pt>
                <c:pt idx="1">
                  <c:v>Преемственность поколений, т.к. этим занимались мои родители/ родственники </c:v>
                </c:pt>
                <c:pt idx="2">
                  <c:v>Конкурентоспособность сферы, ее соответствие современным мировым тенденциям </c:v>
                </c:pt>
                <c:pt idx="3">
                  <c:v> Социальный престиж сферы профессиональной деятельности </c:v>
                </c:pt>
                <c:pt idx="4">
                  <c:v>Возможность самореализации, творчества, проявления инициативы </c:v>
                </c:pt>
                <c:pt idx="5">
                  <c:v>Соответствие работы полученной профессии, специальности</c:v>
                </c:pt>
                <c:pt idx="6">
                  <c:v>Благоприятные условия труда </c:v>
                </c:pt>
                <c:pt idx="7">
                  <c:v>Возможности карьерного, профессионального роста </c:v>
                </c:pt>
                <c:pt idx="8">
                  <c:v>Гарантия стабильной занятости и заработной платы </c:v>
                </c:pt>
              </c:strCache>
            </c:strRef>
          </c:cat>
          <c:val>
            <c:numRef>
              <c:f>Sheet1!$B$2:$J$2</c:f>
              <c:numCache>
                <c:formatCode>General</c:formatCode>
                <c:ptCount val="9"/>
                <c:pt idx="0">
                  <c:v>2.9</c:v>
                </c:pt>
                <c:pt idx="1">
                  <c:v>2.6</c:v>
                </c:pt>
                <c:pt idx="2">
                  <c:v>10.7</c:v>
                </c:pt>
                <c:pt idx="3">
                  <c:v>23</c:v>
                </c:pt>
                <c:pt idx="4">
                  <c:v>33.300000000000004</c:v>
                </c:pt>
                <c:pt idx="5">
                  <c:v>35.1</c:v>
                </c:pt>
                <c:pt idx="6">
                  <c:v>41.7</c:v>
                </c:pt>
                <c:pt idx="7">
                  <c:v>50.5</c:v>
                </c:pt>
                <c:pt idx="8">
                  <c:v>50.5</c:v>
                </c:pt>
              </c:numCache>
            </c:numRef>
          </c:val>
        </c:ser>
        <c:axId val="48784128"/>
        <c:axId val="48786048"/>
      </c:barChart>
      <c:catAx>
        <c:axId val="48784128"/>
        <c:scaling>
          <c:orientation val="minMax"/>
        </c:scaling>
        <c:axPos val="l"/>
        <c:numFmt formatCode="General" sourceLinked="1"/>
        <c:tickLblPos val="nextTo"/>
        <c:spPr>
          <a:ln w="317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48786048"/>
        <c:crosses val="autoZero"/>
        <c:auto val="1"/>
        <c:lblAlgn val="ctr"/>
        <c:lblOffset val="100"/>
        <c:tickLblSkip val="1"/>
        <c:tickMarkSkip val="1"/>
      </c:catAx>
      <c:valAx>
        <c:axId val="48786048"/>
        <c:scaling>
          <c:orientation val="minMax"/>
          <c:max val="100"/>
          <c:min val="0"/>
        </c:scaling>
        <c:delete val="1"/>
        <c:axPos val="b"/>
        <c:numFmt formatCode="General" sourceLinked="1"/>
        <c:tickLblPos val="nextTo"/>
        <c:crossAx val="48784128"/>
        <c:crosses val="autoZero"/>
        <c:crossBetween val="between"/>
        <c:majorUnit val="10"/>
        <c:minorUnit val="2"/>
      </c:valAx>
      <c:spPr>
        <a:solidFill>
          <a:srgbClr val="FFFFFF"/>
        </a:solidFill>
        <a:ln w="12703">
          <a:solidFill>
            <a:srgbClr val="FFFFFF"/>
          </a:solidFill>
          <a:prstDash val="solid"/>
        </a:ln>
      </c:spPr>
    </c:plotArea>
    <c:plotVisOnly val="1"/>
    <c:dispBlanksAs val="gap"/>
  </c:chart>
  <c:spPr>
    <a:noFill/>
    <a:ln>
      <a:noFill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31418918918918937"/>
          <c:y val="0"/>
          <c:w val="0.67117117117117164"/>
          <c:h val="0.94576271186440652"/>
        </c:manualLayout>
      </c:layout>
      <c:barChart>
        <c:barDir val="bar"/>
        <c:grouping val="clustered"/>
        <c:ser>
          <c:idx val="0"/>
          <c:order val="0"/>
          <c:tx>
            <c:strRef>
              <c:f>Sheet1!$A$2</c:f>
              <c:strCache>
                <c:ptCount val="1"/>
              </c:strCache>
            </c:strRef>
          </c:tx>
          <c:spPr>
            <a:solidFill>
              <a:srgbClr val="C0C0C0"/>
            </a:solidFill>
            <a:ln w="12703">
              <a:solidFill>
                <a:srgbClr val="000000"/>
              </a:solidFill>
              <a:prstDash val="solid"/>
            </a:ln>
          </c:spPr>
          <c:dLbls>
            <c:dLbl>
              <c:idx val="4"/>
              <c:layout>
                <c:manualLayout>
                  <c:x val="-0.14215615369273629"/>
                  <c:y val="-7.2389250775781828E-3"/>
                </c:manualLayout>
              </c:layout>
              <c:dLblPos val="outEnd"/>
              <c:showVal val="1"/>
            </c:dLbl>
            <c:dLbl>
              <c:idx val="19"/>
              <c:layout>
                <c:manualLayout>
                  <c:x val="-2.4255879692973735E-2"/>
                  <c:y val="-7.5874969194781924E-3"/>
                </c:manualLayout>
              </c:layout>
              <c:dLblPos val="outEnd"/>
              <c:showVal val="1"/>
            </c:dLbl>
            <c:numFmt formatCode="0.0" sourceLinked="0"/>
            <c:spPr>
              <a:noFill/>
              <a:ln w="25406">
                <a:noFill/>
              </a:ln>
            </c:spPr>
            <c:txPr>
              <a:bodyPr/>
              <a:lstStyle/>
              <a:p>
                <a:pPr>
                  <a:defRPr sz="110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Val val="1"/>
          </c:dLbls>
          <c:cat>
            <c:strRef>
              <c:f>Sheet1!$B$1:$U$1</c:f>
              <c:strCache>
                <c:ptCount val="20"/>
                <c:pt idx="0">
                  <c:v>Другое (напишите)</c:v>
                </c:pt>
                <c:pt idx="1">
                  <c:v>Работник сельского хозяйства (агроном, фермер, механизатор)</c:v>
                </c:pt>
                <c:pt idx="2">
                  <c:v>Строитель</c:v>
                </c:pt>
                <c:pt idx="3">
                  <c:v>Работник образования</c:v>
                </c:pt>
                <c:pt idx="4">
                  <c:v>Затрудняюсь ответить</c:v>
                </c:pt>
                <c:pt idx="5">
                  <c:v>Работник торговли (продавцы, маркетологи)</c:v>
                </c:pt>
                <c:pt idx="6">
                  <c:v>Государственный служащий</c:v>
                </c:pt>
                <c:pt idx="7">
                  <c:v>Работник сферы услуг (косметолог, парикмахер, повар)</c:v>
                </c:pt>
                <c:pt idx="8">
                  <c:v>Управленец/руководитель / директор</c:v>
                </c:pt>
                <c:pt idx="9">
                  <c:v>Работник банковской сферы</c:v>
                </c:pt>
                <c:pt idx="10">
                  <c:v>Экономист/финансист</c:v>
                </c:pt>
                <c:pt idx="11">
                  <c:v>Военнослужащие (в т.ч. полиция, МЧС и др.)</c:v>
                </c:pt>
                <c:pt idx="12">
                  <c:v>Творческие профессии (художник, артист, дизайнер)</c:v>
                </c:pt>
                <c:pt idx="13">
                  <c:v>Связанные с интернетом (блогеры и др.)</c:v>
                </c:pt>
                <c:pt idx="14">
                  <c:v>Политическая сфера</c:v>
                </c:pt>
                <c:pt idx="15">
                  <c:v>Специалист газовой и нефтяной сферы/энергетической промышленности/добычи полезных ископаемых</c:v>
                </c:pt>
                <c:pt idx="16">
                  <c:v>Специалист в юридической сфере (юрист, адвокат, прокурор)</c:v>
                </c:pt>
                <c:pt idx="17">
                  <c:v>Работник медицинской сферы</c:v>
                </c:pt>
                <c:pt idx="18">
                  <c:v>Специалист в области компьютерных технологий (IT-технологии, защита информации, интернет)</c:v>
                </c:pt>
                <c:pt idx="19">
                  <c:v>Предприниматель/бизнесмен</c:v>
                </c:pt>
              </c:strCache>
            </c:strRef>
          </c:cat>
          <c:val>
            <c:numRef>
              <c:f>Sheet1!$B$2:$U$2</c:f>
              <c:numCache>
                <c:formatCode>General</c:formatCode>
                <c:ptCount val="20"/>
                <c:pt idx="0">
                  <c:v>2.1</c:v>
                </c:pt>
                <c:pt idx="1">
                  <c:v>2.6</c:v>
                </c:pt>
                <c:pt idx="2">
                  <c:v>3.5</c:v>
                </c:pt>
                <c:pt idx="3">
                  <c:v>3.7</c:v>
                </c:pt>
                <c:pt idx="4">
                  <c:v>5.5</c:v>
                </c:pt>
                <c:pt idx="5">
                  <c:v>7.4</c:v>
                </c:pt>
                <c:pt idx="6">
                  <c:v>7.6</c:v>
                </c:pt>
                <c:pt idx="7">
                  <c:v>9.5</c:v>
                </c:pt>
                <c:pt idx="8">
                  <c:v>11.5</c:v>
                </c:pt>
                <c:pt idx="9">
                  <c:v>12</c:v>
                </c:pt>
                <c:pt idx="10">
                  <c:v>12.2</c:v>
                </c:pt>
                <c:pt idx="11">
                  <c:v>13.2</c:v>
                </c:pt>
                <c:pt idx="12">
                  <c:v>15.4</c:v>
                </c:pt>
                <c:pt idx="13">
                  <c:v>16.5</c:v>
                </c:pt>
                <c:pt idx="14">
                  <c:v>24.1</c:v>
                </c:pt>
                <c:pt idx="15">
                  <c:v>25.2</c:v>
                </c:pt>
                <c:pt idx="16">
                  <c:v>27.5</c:v>
                </c:pt>
                <c:pt idx="17">
                  <c:v>28.4</c:v>
                </c:pt>
                <c:pt idx="18">
                  <c:v>47.1</c:v>
                </c:pt>
                <c:pt idx="19">
                  <c:v>53.6</c:v>
                </c:pt>
              </c:numCache>
            </c:numRef>
          </c:val>
        </c:ser>
        <c:axId val="51671040"/>
        <c:axId val="51680768"/>
      </c:barChart>
      <c:catAx>
        <c:axId val="51671040"/>
        <c:scaling>
          <c:orientation val="minMax"/>
        </c:scaling>
        <c:axPos val="l"/>
        <c:numFmt formatCode="General" sourceLinked="1"/>
        <c:tickLblPos val="nextTo"/>
        <c:spPr>
          <a:ln w="317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51680768"/>
        <c:crosses val="autoZero"/>
        <c:auto val="1"/>
        <c:lblAlgn val="ctr"/>
        <c:lblOffset val="100"/>
        <c:tickLblSkip val="1"/>
        <c:tickMarkSkip val="1"/>
      </c:catAx>
      <c:valAx>
        <c:axId val="51680768"/>
        <c:scaling>
          <c:orientation val="minMax"/>
          <c:max val="60"/>
          <c:min val="0"/>
        </c:scaling>
        <c:axPos val="b"/>
        <c:numFmt formatCode="General" sourceLinked="1"/>
        <c:tickLblPos val="nextTo"/>
        <c:spPr>
          <a:ln w="317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51671040"/>
        <c:crosses val="autoZero"/>
        <c:crossBetween val="between"/>
        <c:majorUnit val="10"/>
        <c:minorUnit val="2"/>
      </c:valAx>
      <c:spPr>
        <a:solidFill>
          <a:srgbClr val="FFFFFF"/>
        </a:solidFill>
        <a:ln w="12703">
          <a:solidFill>
            <a:srgbClr val="FFFFFF"/>
          </a:solidFill>
          <a:prstDash val="solid"/>
        </a:ln>
      </c:spPr>
    </c:plotArea>
    <c:plotVisOnly val="1"/>
    <c:dispBlanksAs val="gap"/>
  </c:chart>
  <c:spPr>
    <a:noFill/>
    <a:ln>
      <a:noFill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43806306306306392"/>
          <c:y val="0"/>
          <c:w val="0.54166666666666652"/>
          <c:h val="1"/>
        </c:manualLayout>
      </c:layout>
      <c:barChart>
        <c:barDir val="bar"/>
        <c:grouping val="clustered"/>
        <c:ser>
          <c:idx val="0"/>
          <c:order val="0"/>
          <c:spPr>
            <a:solidFill>
              <a:srgbClr val="C0C0C0"/>
            </a:solidFill>
            <a:ln w="12703">
              <a:solidFill>
                <a:srgbClr val="000000"/>
              </a:solidFill>
              <a:prstDash val="solid"/>
            </a:ln>
          </c:spPr>
          <c:dLbls>
            <c:dLbl>
              <c:idx val="4"/>
              <c:layout>
                <c:manualLayout>
                  <c:x val="3.0413125167134212E-2"/>
                  <c:y val="-1.1427871375479622E-2"/>
                </c:manualLayout>
              </c:layout>
              <c:dLblPos val="outEnd"/>
              <c:showVal val="1"/>
            </c:dLbl>
            <c:numFmt formatCode="0.0" sourceLinked="0"/>
            <c:spPr>
              <a:noFill/>
              <a:ln w="25406">
                <a:noFill/>
              </a:ln>
            </c:spPr>
            <c:txPr>
              <a:bodyPr/>
              <a:lstStyle/>
              <a:p>
                <a:pPr>
                  <a:defRPr sz="110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Val val="1"/>
          </c:dLbls>
          <c:cat>
            <c:strRef>
              <c:f>Sheet1!$B$1:$F$1</c:f>
              <c:strCache>
                <c:ptCount val="5"/>
                <c:pt idx="0">
                  <c:v>очень высокие </c:v>
                </c:pt>
                <c:pt idx="1">
                  <c:v>высокие</c:v>
                </c:pt>
                <c:pt idx="2">
                  <c:v>средние</c:v>
                </c:pt>
                <c:pt idx="3">
                  <c:v>ниже среднего</c:v>
                </c:pt>
                <c:pt idx="4">
                  <c:v>очень низкие</c:v>
                </c:pt>
              </c:strCache>
            </c:strRef>
          </c:cat>
          <c:val>
            <c:numRef>
              <c:f>Sheet1!$B$2:$F$2</c:f>
              <c:numCache>
                <c:formatCode>General</c:formatCode>
                <c:ptCount val="5"/>
                <c:pt idx="0">
                  <c:v>6.3</c:v>
                </c:pt>
                <c:pt idx="1">
                  <c:v>11.1</c:v>
                </c:pt>
                <c:pt idx="2">
                  <c:v>65.900000000000006</c:v>
                </c:pt>
                <c:pt idx="3">
                  <c:v>12.6</c:v>
                </c:pt>
                <c:pt idx="4">
                  <c:v>4.0999999999999996</c:v>
                </c:pt>
              </c:numCache>
            </c:numRef>
          </c:val>
        </c:ser>
        <c:axId val="68469888"/>
        <c:axId val="68471808"/>
      </c:barChart>
      <c:catAx>
        <c:axId val="68469888"/>
        <c:scaling>
          <c:orientation val="minMax"/>
        </c:scaling>
        <c:axPos val="l"/>
        <c:numFmt formatCode="General" sourceLinked="1"/>
        <c:tickLblPos val="nextTo"/>
        <c:spPr>
          <a:ln w="317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68471808"/>
        <c:crosses val="autoZero"/>
        <c:auto val="1"/>
        <c:lblAlgn val="ctr"/>
        <c:lblOffset val="100"/>
        <c:tickLblSkip val="1"/>
        <c:tickMarkSkip val="1"/>
      </c:catAx>
      <c:valAx>
        <c:axId val="68471808"/>
        <c:scaling>
          <c:orientation val="minMax"/>
          <c:max val="100"/>
          <c:min val="0"/>
        </c:scaling>
        <c:delete val="1"/>
        <c:axPos val="b"/>
        <c:numFmt formatCode="General" sourceLinked="1"/>
        <c:tickLblPos val="nextTo"/>
        <c:crossAx val="68469888"/>
        <c:crosses val="autoZero"/>
        <c:crossBetween val="between"/>
        <c:majorUnit val="10"/>
        <c:minorUnit val="2"/>
      </c:valAx>
      <c:spPr>
        <a:solidFill>
          <a:srgbClr val="FFFFFF"/>
        </a:solidFill>
        <a:ln w="12703">
          <a:solidFill>
            <a:srgbClr val="FFFFFF"/>
          </a:solidFill>
          <a:prstDash val="solid"/>
        </a:ln>
      </c:spPr>
    </c:plotArea>
    <c:plotVisOnly val="1"/>
    <c:dispBlanksAs val="gap"/>
  </c:chart>
  <c:spPr>
    <a:noFill/>
    <a:ln>
      <a:noFill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63F08F-2C72-41D9-B8BB-0A4529E1D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5</Pages>
  <Words>1697</Words>
  <Characters>9676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2025-03-21T12:43:00Z</dcterms:created>
  <dcterms:modified xsi:type="dcterms:W3CDTF">2025-03-21T15:02:00Z</dcterms:modified>
</cp:coreProperties>
</file>