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03507" w14:textId="5916856A" w:rsidR="00BE5E1B" w:rsidRDefault="00BE5E1B" w:rsidP="00BE5E1B">
      <w:pPr>
        <w:spacing w:after="0" w:line="240" w:lineRule="auto"/>
        <w:ind w:firstLine="709"/>
        <w:jc w:val="left"/>
        <w:rPr>
          <w:b/>
          <w:bCs/>
          <w:sz w:val="24"/>
          <w:szCs w:val="24"/>
          <w:lang w:val="ru-RU"/>
        </w:rPr>
      </w:pPr>
      <w:r>
        <w:rPr>
          <w:b/>
          <w:bCs/>
          <w:sz w:val="24"/>
          <w:szCs w:val="24"/>
          <w:lang w:val="ru-RU"/>
        </w:rPr>
        <w:t>УДК 316 / ББК 60.5</w:t>
      </w:r>
    </w:p>
    <w:p w14:paraId="186E21F1" w14:textId="4E040492" w:rsidR="00BE530B" w:rsidRDefault="00BE530B" w:rsidP="00BE530B">
      <w:pPr>
        <w:spacing w:after="0" w:line="240" w:lineRule="auto"/>
        <w:ind w:firstLine="709"/>
        <w:jc w:val="right"/>
        <w:rPr>
          <w:b/>
          <w:bCs/>
          <w:sz w:val="24"/>
          <w:szCs w:val="24"/>
          <w:lang w:val="ru-RU"/>
        </w:rPr>
      </w:pPr>
      <w:r>
        <w:rPr>
          <w:b/>
          <w:bCs/>
          <w:sz w:val="24"/>
          <w:szCs w:val="24"/>
          <w:lang w:val="ru-RU"/>
        </w:rPr>
        <w:t>Шевцова А.Е.</w:t>
      </w:r>
    </w:p>
    <w:p w14:paraId="47E22D9B" w14:textId="015B9D9A" w:rsidR="001831B9" w:rsidRPr="007B63C5" w:rsidRDefault="00BE530B" w:rsidP="00BE530B">
      <w:pPr>
        <w:spacing w:after="0" w:line="240" w:lineRule="auto"/>
        <w:ind w:firstLine="0"/>
        <w:jc w:val="center"/>
        <w:rPr>
          <w:sz w:val="24"/>
          <w:szCs w:val="24"/>
          <w:lang w:val="ru-RU"/>
        </w:rPr>
      </w:pPr>
      <w:r w:rsidRPr="007B63C5">
        <w:rPr>
          <w:b/>
          <w:bCs/>
          <w:sz w:val="24"/>
          <w:szCs w:val="24"/>
          <w:lang w:val="ru-RU"/>
        </w:rPr>
        <w:t>АНИМЕ КАК ФАКТОР ВОСПРИЯТИЯ ЯПОНСКОЙ КУЛЬТУРЫ</w:t>
      </w:r>
    </w:p>
    <w:p w14:paraId="1A67147A" w14:textId="0AC68F7E" w:rsidR="00BE530B" w:rsidRPr="00BE530B" w:rsidRDefault="00BE530B" w:rsidP="007B63C5">
      <w:pPr>
        <w:spacing w:after="0" w:line="240" w:lineRule="auto"/>
        <w:ind w:firstLine="709"/>
        <w:rPr>
          <w:b/>
          <w:bCs/>
          <w:sz w:val="24"/>
          <w:szCs w:val="24"/>
          <w:lang w:val="ru-RU"/>
        </w:rPr>
      </w:pPr>
      <w:r w:rsidRPr="00BE530B">
        <w:rPr>
          <w:b/>
          <w:bCs/>
          <w:sz w:val="24"/>
          <w:szCs w:val="24"/>
          <w:lang w:val="ru-RU"/>
        </w:rPr>
        <w:t>Аннотация:</w:t>
      </w:r>
      <w:r w:rsidR="007E3E6E" w:rsidRPr="007E3E6E">
        <w:rPr>
          <w:lang w:val="ru-RU"/>
        </w:rPr>
        <w:t xml:space="preserve"> </w:t>
      </w:r>
      <w:r w:rsidR="007E3E6E" w:rsidRPr="007E3E6E">
        <w:rPr>
          <w:sz w:val="24"/>
          <w:szCs w:val="24"/>
          <w:lang w:val="ru-RU"/>
        </w:rPr>
        <w:t xml:space="preserve">Статья исследует влияние аниме на восприятие японской культуры, подчёркивая передачу ценностей и традиций через сюжеты и символы. </w:t>
      </w:r>
      <w:r w:rsidR="001A337B">
        <w:rPr>
          <w:sz w:val="24"/>
          <w:szCs w:val="24"/>
          <w:lang w:val="ru-RU"/>
        </w:rPr>
        <w:t>А</w:t>
      </w:r>
      <w:r w:rsidR="007E3E6E" w:rsidRPr="007E3E6E">
        <w:rPr>
          <w:sz w:val="24"/>
          <w:szCs w:val="24"/>
          <w:lang w:val="ru-RU"/>
        </w:rPr>
        <w:t>нализ</w:t>
      </w:r>
      <w:r w:rsidR="001A337B">
        <w:rPr>
          <w:sz w:val="24"/>
          <w:szCs w:val="24"/>
          <w:lang w:val="ru-RU"/>
        </w:rPr>
        <w:t xml:space="preserve"> представленного зарубежного исследования</w:t>
      </w:r>
      <w:r w:rsidR="001A337B" w:rsidRPr="001A337B">
        <w:rPr>
          <w:lang w:val="ru-RU"/>
        </w:rPr>
        <w:t xml:space="preserve"> </w:t>
      </w:r>
      <w:r w:rsidR="001A337B" w:rsidRPr="001A337B">
        <w:rPr>
          <w:sz w:val="24"/>
          <w:szCs w:val="24"/>
          <w:lang w:val="ru-RU"/>
        </w:rPr>
        <w:t>аниме «Атака титанов», который отражает аспекты японского общества, такие как коллективизм и честь</w:t>
      </w:r>
      <w:r w:rsidR="001A337B">
        <w:rPr>
          <w:sz w:val="24"/>
          <w:szCs w:val="24"/>
          <w:lang w:val="ru-RU"/>
        </w:rPr>
        <w:t>,</w:t>
      </w:r>
      <w:r w:rsidR="007E3E6E" w:rsidRPr="007E3E6E">
        <w:rPr>
          <w:sz w:val="24"/>
          <w:szCs w:val="24"/>
          <w:lang w:val="ru-RU"/>
        </w:rPr>
        <w:t xml:space="preserve"> выделяет ключевые категории, помогающие лучше понять японскую культуру. </w:t>
      </w:r>
    </w:p>
    <w:p w14:paraId="25F6F74A" w14:textId="6AFFB783" w:rsidR="00BE530B" w:rsidRDefault="00BE530B" w:rsidP="007B63C5">
      <w:pPr>
        <w:spacing w:after="0" w:line="240" w:lineRule="auto"/>
        <w:ind w:firstLine="709"/>
        <w:rPr>
          <w:sz w:val="24"/>
          <w:szCs w:val="24"/>
          <w:lang w:val="ru-RU"/>
        </w:rPr>
      </w:pPr>
      <w:r w:rsidRPr="00BE530B">
        <w:rPr>
          <w:b/>
          <w:bCs/>
          <w:sz w:val="24"/>
          <w:szCs w:val="24"/>
          <w:lang w:val="ru-RU"/>
        </w:rPr>
        <w:t>Ключевые слова:</w:t>
      </w:r>
      <w:r>
        <w:rPr>
          <w:sz w:val="24"/>
          <w:szCs w:val="24"/>
          <w:lang w:val="ru-RU"/>
        </w:rPr>
        <w:t xml:space="preserve"> аниме, японская культура, </w:t>
      </w:r>
      <w:r w:rsidR="001A337B">
        <w:rPr>
          <w:sz w:val="24"/>
          <w:szCs w:val="24"/>
          <w:lang w:val="ru-RU"/>
        </w:rPr>
        <w:t xml:space="preserve">культурный обмен, </w:t>
      </w:r>
      <w:r>
        <w:rPr>
          <w:sz w:val="24"/>
          <w:szCs w:val="24"/>
          <w:lang w:val="ru-RU"/>
        </w:rPr>
        <w:t>восприятие, символизм.</w:t>
      </w:r>
    </w:p>
    <w:p w14:paraId="1D8C1116" w14:textId="77777777" w:rsidR="00BE530B" w:rsidRDefault="00BE530B" w:rsidP="007B63C5">
      <w:pPr>
        <w:spacing w:after="0" w:line="240" w:lineRule="auto"/>
        <w:ind w:firstLine="709"/>
        <w:rPr>
          <w:sz w:val="24"/>
          <w:szCs w:val="24"/>
          <w:lang w:val="ru-RU"/>
        </w:rPr>
      </w:pPr>
    </w:p>
    <w:p w14:paraId="4074305E" w14:textId="586A68D3" w:rsidR="001831B9" w:rsidRPr="007B63C5" w:rsidRDefault="00000000" w:rsidP="007B63C5">
      <w:pPr>
        <w:spacing w:after="0" w:line="240" w:lineRule="auto"/>
        <w:ind w:firstLine="709"/>
        <w:rPr>
          <w:sz w:val="24"/>
          <w:szCs w:val="24"/>
          <w:lang w:val="ru-RU"/>
        </w:rPr>
      </w:pPr>
      <w:r w:rsidRPr="007B63C5">
        <w:rPr>
          <w:sz w:val="24"/>
          <w:szCs w:val="24"/>
          <w:lang w:val="ru-RU"/>
        </w:rPr>
        <w:t>Современное общество характеризуется активным культурным обменом, в котором значительную роль играют медиаформаты, такие как кино, музыка и анимация. Одним из наиболее ярких примеров культурного влияния является японская анимация, известная как аниме. Аниме не только завоевало популярность во всем мире, но и стало важным каналом передачи японской культуры, её ценностей и традиций</w:t>
      </w:r>
      <w:r w:rsidR="002817AB" w:rsidRPr="002817AB">
        <w:rPr>
          <w:sz w:val="24"/>
          <w:szCs w:val="24"/>
          <w:lang w:val="ru-RU"/>
        </w:rPr>
        <w:t xml:space="preserve"> [1]</w:t>
      </w:r>
      <w:r w:rsidRPr="007B63C5">
        <w:rPr>
          <w:sz w:val="24"/>
          <w:szCs w:val="24"/>
          <w:lang w:val="ru-RU"/>
        </w:rPr>
        <w:t>. Исследование влияния аниме на восприятие японской культуры помогает понять, как этот медиаформат способствует формированию представлений о Японии у широкой международной аудитории.</w:t>
      </w:r>
    </w:p>
    <w:p w14:paraId="40A39B2B" w14:textId="40F3F0D9" w:rsidR="00487B7D" w:rsidRPr="007B63C5" w:rsidRDefault="00487B7D" w:rsidP="007B63C5">
      <w:pPr>
        <w:spacing w:after="0" w:line="240" w:lineRule="auto"/>
        <w:ind w:firstLine="709"/>
        <w:rPr>
          <w:sz w:val="24"/>
          <w:szCs w:val="24"/>
          <w:lang w:val="ru-RU"/>
        </w:rPr>
      </w:pPr>
      <w:r w:rsidRPr="007B63C5">
        <w:rPr>
          <w:sz w:val="24"/>
          <w:szCs w:val="24"/>
          <w:lang w:val="ru-RU"/>
        </w:rPr>
        <w:t>Аниме как форма искусства не ограничено обязательным изображением Японии для передачи ее социокультурных элементов. Японская культура, история и ценности могут находить отражение в произведениях с самыми разными сеттингами</w:t>
      </w:r>
      <w:r w:rsidR="00024DEA" w:rsidRPr="007B63C5">
        <w:rPr>
          <w:sz w:val="24"/>
          <w:szCs w:val="24"/>
          <w:lang w:val="ru-RU"/>
        </w:rPr>
        <w:t xml:space="preserve"> – </w:t>
      </w:r>
      <w:r w:rsidRPr="007B63C5">
        <w:rPr>
          <w:sz w:val="24"/>
          <w:szCs w:val="24"/>
          <w:lang w:val="ru-RU"/>
        </w:rPr>
        <w:t>от футуристических миров до фэнтезийных вселенных, от альтернативных историй до постапокалиптических реальностей. Важно не то, где разворачиваются события, а какие идеи и смыслы в них заложены.</w:t>
      </w:r>
    </w:p>
    <w:p w14:paraId="5D531950" w14:textId="562F64F5" w:rsidR="00024DEA" w:rsidRPr="007B63C5" w:rsidRDefault="00487B7D" w:rsidP="007B63C5">
      <w:pPr>
        <w:spacing w:after="0" w:line="240" w:lineRule="auto"/>
        <w:ind w:firstLine="709"/>
        <w:rPr>
          <w:sz w:val="24"/>
          <w:szCs w:val="24"/>
          <w:lang w:val="ru-RU"/>
        </w:rPr>
      </w:pPr>
      <w:r w:rsidRPr="007B63C5">
        <w:rPr>
          <w:sz w:val="24"/>
          <w:szCs w:val="24"/>
          <w:lang w:val="ru-RU"/>
        </w:rPr>
        <w:t xml:space="preserve">Через символизм, нарративные структуры и характерные социальные мотивы аниме способно передавать фундаментальные аспекты японского общества. Например, темы коллективизма, долга перед обществом, чести и жертвенности, глубоко укорененные в японской культуре, могут проявляться даже в произведениях, далеких от традиционных японских антуражей. Ярким примером этого является «Атака титанов» (яп. </w:t>
      </w:r>
      <w:r w:rsidRPr="007B63C5">
        <w:rPr>
          <w:rFonts w:eastAsia="MS Mincho"/>
          <w:sz w:val="24"/>
          <w:szCs w:val="24"/>
          <w:lang w:val="ru-RU"/>
        </w:rPr>
        <w:t>進撃の巨人</w:t>
      </w:r>
      <w:r w:rsidRPr="007B63C5">
        <w:rPr>
          <w:sz w:val="24"/>
          <w:szCs w:val="24"/>
          <w:lang w:val="ru-RU"/>
        </w:rPr>
        <w:t xml:space="preserve"> </w:t>
      </w:r>
      <w:r w:rsidRPr="007B63C5">
        <w:rPr>
          <w:i/>
          <w:iCs/>
          <w:sz w:val="24"/>
          <w:szCs w:val="24"/>
          <w:lang w:val="ru-RU"/>
        </w:rPr>
        <w:t>Сингэки но Кёдзин</w:t>
      </w:r>
      <w:r w:rsidRPr="007B63C5">
        <w:rPr>
          <w:sz w:val="24"/>
          <w:szCs w:val="24"/>
          <w:lang w:val="ru-RU"/>
        </w:rPr>
        <w:t>, букв. «Атакующий гигант»), действие которого происходит в мире, не имеющем прямой связи с Японией, но в котором прослеживаются отсылки к историческим событиям, милитаристской идеологии и социальным структурам, характерным для японского общества.</w:t>
      </w:r>
      <w:r w:rsidR="00024DEA" w:rsidRPr="007B63C5">
        <w:rPr>
          <w:sz w:val="24"/>
          <w:szCs w:val="24"/>
          <w:lang w:val="ru-RU"/>
        </w:rPr>
        <w:t xml:space="preserve"> Сюжет «Атаки титанов» представляет собой метафорическую историю, в которой человечество находится под угрозой со стороны титанов </w:t>
      </w:r>
      <w:r w:rsidR="007E6C3A" w:rsidRPr="007B63C5">
        <w:rPr>
          <w:sz w:val="24"/>
          <w:szCs w:val="24"/>
          <w:lang w:val="ru-RU"/>
        </w:rPr>
        <w:t>–</w:t>
      </w:r>
      <w:r w:rsidR="00024DEA" w:rsidRPr="007B63C5">
        <w:rPr>
          <w:sz w:val="24"/>
          <w:szCs w:val="24"/>
          <w:lang w:val="ru-RU"/>
        </w:rPr>
        <w:t xml:space="preserve"> гигантских существ, внешне схожих с людьми</w:t>
      </w:r>
      <w:r w:rsidR="00DC4DF4">
        <w:rPr>
          <w:sz w:val="24"/>
          <w:szCs w:val="24"/>
          <w:lang w:val="ru-RU"/>
        </w:rPr>
        <w:t xml:space="preserve"> </w:t>
      </w:r>
      <w:r w:rsidR="00DC4DF4" w:rsidRPr="00DC4DF4">
        <w:rPr>
          <w:sz w:val="24"/>
          <w:szCs w:val="24"/>
          <w:lang w:val="ru-RU"/>
        </w:rPr>
        <w:t>[3]</w:t>
      </w:r>
      <w:r w:rsidR="00024DEA" w:rsidRPr="007B63C5">
        <w:rPr>
          <w:sz w:val="24"/>
          <w:szCs w:val="24"/>
          <w:lang w:val="ru-RU"/>
        </w:rPr>
        <w:t>. Это произведение служит основой для глубокого анализа тем угнетения меньшинств, политических конфликтов и иных аспектов, демонстрируя возможные реакции общества на экстремальные условия. В рамках аниме также поднимаются универсальные темы приключений и личностной трансформации, изменения мировоззрения и достижения зрелости через призму пути главного героя, Эрена Йегера.</w:t>
      </w:r>
    </w:p>
    <w:p w14:paraId="2672F4CC" w14:textId="242B94D1" w:rsidR="00A94B2E" w:rsidRPr="007B63C5" w:rsidRDefault="00024DEA" w:rsidP="007B63C5">
      <w:pPr>
        <w:spacing w:after="0" w:line="240" w:lineRule="auto"/>
        <w:ind w:firstLine="709"/>
        <w:rPr>
          <w:sz w:val="24"/>
          <w:szCs w:val="24"/>
          <w:lang w:val="ru-RU"/>
        </w:rPr>
      </w:pPr>
      <w:r w:rsidRPr="007B63C5">
        <w:rPr>
          <w:sz w:val="24"/>
          <w:szCs w:val="24"/>
          <w:lang w:val="ru-RU"/>
        </w:rPr>
        <w:t>В завершающем сезоне особое внимание уделяется вопросам расы, этнической идентичности и исторического контекста, что вызывает оживлённые дискуссии и обсуждения среди аудитории на различных платформах</w:t>
      </w:r>
      <w:r w:rsidR="00DC4DF4" w:rsidRPr="00DC4DF4">
        <w:rPr>
          <w:sz w:val="24"/>
          <w:szCs w:val="24"/>
          <w:lang w:val="ru-RU"/>
        </w:rPr>
        <w:t xml:space="preserve"> [3]</w:t>
      </w:r>
      <w:r w:rsidRPr="007B63C5">
        <w:rPr>
          <w:sz w:val="24"/>
          <w:szCs w:val="24"/>
          <w:lang w:val="ru-RU"/>
        </w:rPr>
        <w:t>. Это актуализирует вопросы о значении аниме, его взаимосвязи с социокультурной политикой Японии и отражении современных реалий японского общества.</w:t>
      </w:r>
    </w:p>
    <w:p w14:paraId="10628CB4" w14:textId="030C75FE" w:rsidR="00487B7D" w:rsidRPr="007B63C5" w:rsidRDefault="00024DEA" w:rsidP="007B63C5">
      <w:pPr>
        <w:spacing w:after="0" w:line="240" w:lineRule="auto"/>
        <w:ind w:firstLine="709"/>
        <w:rPr>
          <w:sz w:val="24"/>
          <w:szCs w:val="24"/>
          <w:lang w:val="ru-RU"/>
        </w:rPr>
      </w:pPr>
      <w:r w:rsidRPr="007B63C5">
        <w:rPr>
          <w:sz w:val="24"/>
          <w:szCs w:val="24"/>
          <w:lang w:val="ru-RU"/>
        </w:rPr>
        <w:t>В</w:t>
      </w:r>
      <w:r w:rsidR="00487B7D" w:rsidRPr="007B63C5">
        <w:rPr>
          <w:sz w:val="24"/>
          <w:szCs w:val="24"/>
          <w:lang w:val="ru-RU"/>
        </w:rPr>
        <w:t xml:space="preserve"> работе Хафиз Азиз Ахмада и Нада Фарадилла, основной целью которой является выявление символизма и культурных мотивов, скрытых в повествовании и визуальном стиле аниме</w:t>
      </w:r>
      <w:r w:rsidRPr="007B63C5">
        <w:rPr>
          <w:sz w:val="24"/>
          <w:szCs w:val="24"/>
          <w:lang w:val="ru-RU"/>
        </w:rPr>
        <w:t>, именно вышеуказанное произведение выступает в качестве объекта исследования, поскольку, несмотря на фантастический сеттинг, в нем прослеживаются аллюзии на современные социокультурные реалии Японии</w:t>
      </w:r>
      <w:r w:rsidR="002817AB">
        <w:rPr>
          <w:sz w:val="24"/>
          <w:szCs w:val="24"/>
          <w:lang w:val="ru-RU"/>
        </w:rPr>
        <w:t xml:space="preserve"> </w:t>
      </w:r>
      <w:r w:rsidR="002817AB" w:rsidRPr="002817AB">
        <w:rPr>
          <w:sz w:val="24"/>
          <w:szCs w:val="24"/>
          <w:lang w:val="ru-RU"/>
        </w:rPr>
        <w:t>[2]</w:t>
      </w:r>
      <w:r w:rsidRPr="007B63C5">
        <w:rPr>
          <w:sz w:val="24"/>
          <w:szCs w:val="24"/>
          <w:lang w:val="ru-RU"/>
        </w:rPr>
        <w:t>.</w:t>
      </w:r>
      <w:r w:rsidR="00487B7D" w:rsidRPr="007B63C5">
        <w:rPr>
          <w:sz w:val="24"/>
          <w:szCs w:val="24"/>
          <w:lang w:val="ru-RU"/>
        </w:rPr>
        <w:t xml:space="preserve"> Исследование опирается на качественный контент-анализ и метод Майринга, позволяющий выявлять и классифицировать культурные коды. Анализу подверглись 88 эпизодов аниме из 139 (по состоянию на июль 2023 года).</w:t>
      </w:r>
    </w:p>
    <w:p w14:paraId="5B929AAF" w14:textId="77777777" w:rsidR="00BE530B" w:rsidRDefault="00024DEA" w:rsidP="00BE530B">
      <w:pPr>
        <w:spacing w:after="0" w:line="240" w:lineRule="auto"/>
        <w:ind w:firstLine="709"/>
        <w:rPr>
          <w:sz w:val="24"/>
          <w:szCs w:val="24"/>
          <w:lang w:val="ru-RU"/>
        </w:rPr>
      </w:pPr>
      <w:bookmarkStart w:id="0" w:name="_Toc19"/>
      <w:r w:rsidRPr="007B63C5">
        <w:rPr>
          <w:sz w:val="24"/>
          <w:szCs w:val="24"/>
          <w:lang w:val="ru-RU"/>
        </w:rPr>
        <w:lastRenderedPageBreak/>
        <w:t>В ходе исследования были выделены десять ключевых категорий, отражающих фундаментальные аспекты японской социокультурной системы:</w:t>
      </w:r>
    </w:p>
    <w:p w14:paraId="045A6E18" w14:textId="77777777" w:rsidR="00BE530B" w:rsidRPr="00BE530B" w:rsidRDefault="00024DEA" w:rsidP="00BE530B">
      <w:pPr>
        <w:pStyle w:val="a6"/>
        <w:numPr>
          <w:ilvl w:val="0"/>
          <w:numId w:val="4"/>
        </w:numPr>
        <w:spacing w:after="0" w:line="240" w:lineRule="auto"/>
        <w:rPr>
          <w:sz w:val="24"/>
          <w:szCs w:val="24"/>
          <w:lang w:val="ru-RU"/>
        </w:rPr>
      </w:pPr>
      <w:r w:rsidRPr="00BE530B">
        <w:rPr>
          <w:sz w:val="24"/>
          <w:szCs w:val="24"/>
          <w:lang w:val="ru-RU"/>
        </w:rPr>
        <w:t>Террор и травматический опыт;</w:t>
      </w:r>
    </w:p>
    <w:p w14:paraId="52E80672" w14:textId="77777777" w:rsidR="00BE530B" w:rsidRPr="00BE530B" w:rsidRDefault="00024DEA" w:rsidP="00BE530B">
      <w:pPr>
        <w:pStyle w:val="a6"/>
        <w:numPr>
          <w:ilvl w:val="0"/>
          <w:numId w:val="4"/>
        </w:numPr>
        <w:spacing w:after="0" w:line="240" w:lineRule="auto"/>
        <w:rPr>
          <w:sz w:val="24"/>
          <w:szCs w:val="24"/>
          <w:lang w:val="ru-RU"/>
        </w:rPr>
      </w:pPr>
      <w:r w:rsidRPr="00BE530B">
        <w:rPr>
          <w:sz w:val="24"/>
          <w:szCs w:val="24"/>
          <w:lang w:val="ru-RU"/>
        </w:rPr>
        <w:t>Военные конфликты и милитаризм;</w:t>
      </w:r>
    </w:p>
    <w:p w14:paraId="04A797BF" w14:textId="116460F3"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Этнические группы и народ;</w:t>
      </w:r>
    </w:p>
    <w:p w14:paraId="27B7DA16" w14:textId="07188134"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Религиозные традиции;</w:t>
      </w:r>
    </w:p>
    <w:p w14:paraId="64BAD03C" w14:textId="660E278F"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Лингвистические особенности и коммуникативные практики;</w:t>
      </w:r>
    </w:p>
    <w:p w14:paraId="62ABC4D7" w14:textId="3BDC6C5D"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Взаимодействие с природной средой и местообитание;</w:t>
      </w:r>
    </w:p>
    <w:p w14:paraId="3441B190" w14:textId="3C5D69FD"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Аграрная культура и сельское хозяйство;</w:t>
      </w:r>
    </w:p>
    <w:p w14:paraId="28D91C76" w14:textId="3818630B"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Система ценностей;</w:t>
      </w:r>
    </w:p>
    <w:p w14:paraId="3D8C95AF" w14:textId="0BDC1D74"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Национальная идентичность;</w:t>
      </w:r>
    </w:p>
    <w:p w14:paraId="0EAD8ABC" w14:textId="7FB8E853" w:rsidR="00024DEA" w:rsidRPr="00BE530B" w:rsidRDefault="00024DEA" w:rsidP="00BE530B">
      <w:pPr>
        <w:pStyle w:val="a6"/>
        <w:numPr>
          <w:ilvl w:val="0"/>
          <w:numId w:val="4"/>
        </w:numPr>
        <w:spacing w:after="0" w:line="240" w:lineRule="auto"/>
        <w:rPr>
          <w:sz w:val="24"/>
          <w:szCs w:val="24"/>
          <w:lang w:val="ru-RU"/>
        </w:rPr>
      </w:pPr>
      <w:r w:rsidRPr="00BE530B">
        <w:rPr>
          <w:sz w:val="24"/>
          <w:szCs w:val="24"/>
          <w:lang w:val="ru-RU"/>
        </w:rPr>
        <w:t>Социально-классовая структура</w:t>
      </w:r>
      <w:r w:rsidR="00DC4DF4">
        <w:rPr>
          <w:sz w:val="24"/>
          <w:szCs w:val="24"/>
        </w:rPr>
        <w:t xml:space="preserve"> [2]</w:t>
      </w:r>
      <w:r w:rsidRPr="00BE530B">
        <w:rPr>
          <w:sz w:val="24"/>
          <w:szCs w:val="24"/>
          <w:lang w:val="ru-RU"/>
        </w:rPr>
        <w:t>.</w:t>
      </w:r>
    </w:p>
    <w:p w14:paraId="0887D26D" w14:textId="4CAC6950" w:rsidR="00E74833" w:rsidRPr="007B63C5" w:rsidRDefault="00024DEA" w:rsidP="007B63C5">
      <w:pPr>
        <w:spacing w:after="0" w:line="240" w:lineRule="auto"/>
        <w:ind w:firstLine="709"/>
        <w:rPr>
          <w:sz w:val="24"/>
          <w:szCs w:val="24"/>
          <w:lang w:val="ru-RU"/>
        </w:rPr>
      </w:pPr>
      <w:r w:rsidRPr="007B63C5">
        <w:rPr>
          <w:sz w:val="24"/>
          <w:szCs w:val="24"/>
          <w:lang w:val="ru-RU"/>
        </w:rPr>
        <w:t>Каждая из этих категорий включает специфические элементы, формирующие японскую культурную модель. Например, в рамках категории «ценности» анализируются такие концепты, как честь (meiyo), дисциплина (kunren) и социальная ответственность (giri), которые проявляются в поведенческих паттернах представителей японского общества.</w:t>
      </w:r>
      <w:r w:rsidR="00E74833" w:rsidRPr="007B63C5">
        <w:rPr>
          <w:sz w:val="24"/>
          <w:szCs w:val="24"/>
          <w:lang w:val="ru-RU"/>
        </w:rPr>
        <w:t xml:space="preserve"> В ходе следующего этапа исследования было обнаружено 1722 случая включения социокультурных элементов в сериале «Атака Титанов». Наиболее значимые категории включают: система ценностей – 525 случаев (30%); военные конфликты и милитаризм – 347 случаев (20%); террор и травматический опыт – 250 случаев (15%)</w:t>
      </w:r>
      <w:r w:rsidR="00DC4DF4" w:rsidRPr="00DC4DF4">
        <w:rPr>
          <w:sz w:val="24"/>
          <w:szCs w:val="24"/>
          <w:lang w:val="ru-RU"/>
        </w:rPr>
        <w:t xml:space="preserve"> [2</w:t>
      </w:r>
      <w:r w:rsidR="00DC4DF4" w:rsidRPr="00C21303">
        <w:rPr>
          <w:sz w:val="24"/>
          <w:szCs w:val="24"/>
          <w:lang w:val="ru-RU"/>
        </w:rPr>
        <w:t>]</w:t>
      </w:r>
      <w:r w:rsidR="00E74833" w:rsidRPr="007B63C5">
        <w:rPr>
          <w:sz w:val="24"/>
          <w:szCs w:val="24"/>
          <w:lang w:val="ru-RU"/>
        </w:rPr>
        <w:t>.</w:t>
      </w:r>
    </w:p>
    <w:p w14:paraId="7168A051" w14:textId="55DB413B" w:rsidR="00BE530B" w:rsidRDefault="00E74833" w:rsidP="00BE530B">
      <w:pPr>
        <w:spacing w:after="0" w:line="240" w:lineRule="auto"/>
        <w:ind w:firstLine="709"/>
        <w:rPr>
          <w:sz w:val="24"/>
          <w:szCs w:val="24"/>
          <w:lang w:val="ru-RU"/>
        </w:rPr>
      </w:pPr>
      <w:r w:rsidRPr="007B63C5">
        <w:rPr>
          <w:sz w:val="24"/>
          <w:szCs w:val="24"/>
          <w:lang w:val="ru-RU"/>
        </w:rPr>
        <w:t xml:space="preserve">Если обратиться непосредственно к «картинке», становится очевидным выделение именно этих категорий. </w:t>
      </w:r>
      <w:r w:rsidR="00376280" w:rsidRPr="007B63C5">
        <w:rPr>
          <w:sz w:val="24"/>
          <w:szCs w:val="24"/>
          <w:lang w:val="ru-RU"/>
        </w:rPr>
        <w:t>Визуальные элементы, тактические приемы и дисциплина напоминают милитаристские традиции, а использование холодного оружия ассоциируется с образом самурая и благородным боевым искусством. Сцены войны и агрессии вызывают ассоциации с нападением на Перл-Харбор и бомбардировками японских городов в период Второй мировой войны, создавая напряженную атмосферу и актуализируя историческую память. Тема террора и травматического опыта раскрывается через сцены массового уничтожения и разрушенные города, передавая чувство беспомощности перед катастрофами, сопоставимое с переживаниями японского общества в военные годы. Разрушение глобального порядка, вызванное действиями главного героя, можно интерпретировать как метафору ядерного удара и его последствий. Таким образом, аниме как массовая культура способна транслировать исторические и социальные нарративы без конкретного акцента на культуру «страны-изготовителя», тем самым делая их доступными для широкой публики, что только увеличивает роль этого жанра как фактор восприятия японской культуры.</w:t>
      </w:r>
      <w:bookmarkEnd w:id="0"/>
    </w:p>
    <w:p w14:paraId="77E91AD2" w14:textId="77777777" w:rsidR="00BE530B" w:rsidRDefault="00BE530B" w:rsidP="00BE530B">
      <w:pPr>
        <w:spacing w:after="0" w:line="240" w:lineRule="auto"/>
        <w:ind w:firstLine="709"/>
        <w:rPr>
          <w:sz w:val="24"/>
          <w:szCs w:val="24"/>
          <w:lang w:val="ru-RU"/>
        </w:rPr>
      </w:pPr>
    </w:p>
    <w:p w14:paraId="360CEF97" w14:textId="65C67785" w:rsidR="00BE530B" w:rsidRPr="002817AB" w:rsidRDefault="00BE530B" w:rsidP="00A405CE">
      <w:pPr>
        <w:spacing w:after="0" w:line="240" w:lineRule="auto"/>
        <w:ind w:firstLine="709"/>
        <w:jc w:val="center"/>
        <w:rPr>
          <w:b/>
          <w:bCs/>
          <w:sz w:val="24"/>
          <w:szCs w:val="24"/>
        </w:rPr>
      </w:pPr>
      <w:r w:rsidRPr="00A405CE">
        <w:rPr>
          <w:b/>
          <w:bCs/>
          <w:sz w:val="24"/>
          <w:szCs w:val="24"/>
          <w:lang w:val="ru-RU"/>
        </w:rPr>
        <w:t>Библиографический</w:t>
      </w:r>
      <w:r w:rsidRPr="002817AB">
        <w:rPr>
          <w:b/>
          <w:bCs/>
          <w:sz w:val="24"/>
          <w:szCs w:val="24"/>
        </w:rPr>
        <w:t xml:space="preserve"> </w:t>
      </w:r>
      <w:r w:rsidRPr="00A405CE">
        <w:rPr>
          <w:b/>
          <w:bCs/>
          <w:sz w:val="24"/>
          <w:szCs w:val="24"/>
          <w:lang w:val="ru-RU"/>
        </w:rPr>
        <w:t>список</w:t>
      </w:r>
    </w:p>
    <w:p w14:paraId="76A7C85D" w14:textId="5D443C7E" w:rsidR="00A405CE" w:rsidRPr="00404901" w:rsidRDefault="00A405CE" w:rsidP="00BE530B">
      <w:pPr>
        <w:spacing w:after="0" w:line="240" w:lineRule="auto"/>
        <w:ind w:firstLine="709"/>
        <w:rPr>
          <w:sz w:val="24"/>
          <w:szCs w:val="24"/>
          <w:lang w:val="ru-RU"/>
        </w:rPr>
      </w:pPr>
      <w:r w:rsidRPr="00A405CE">
        <w:rPr>
          <w:sz w:val="24"/>
          <w:szCs w:val="24"/>
        </w:rPr>
        <w:t xml:space="preserve">1. </w:t>
      </w:r>
      <w:r w:rsidRPr="00752299">
        <w:rPr>
          <w:sz w:val="24"/>
          <w:szCs w:val="24"/>
        </w:rPr>
        <w:t>Ahmad H.A., Faradilla N. Representation of Japanese Sociocultural Elements in the Anime Series Attack on Titan</w:t>
      </w:r>
      <w:r>
        <w:rPr>
          <w:sz w:val="24"/>
          <w:szCs w:val="24"/>
        </w:rPr>
        <w:t xml:space="preserve">. </w:t>
      </w:r>
      <w:r w:rsidRPr="00A405CE">
        <w:rPr>
          <w:i/>
          <w:iCs/>
          <w:sz w:val="24"/>
          <w:szCs w:val="24"/>
        </w:rPr>
        <w:t>Proceedings of the 3rd International Conference of Art, Craft, Culture and Design (ICON-ARCCADE 2023).</w:t>
      </w:r>
      <w:r>
        <w:rPr>
          <w:sz w:val="24"/>
          <w:szCs w:val="24"/>
        </w:rPr>
        <w:t xml:space="preserve"> </w:t>
      </w:r>
      <w:r w:rsidRPr="00752299">
        <w:rPr>
          <w:sz w:val="24"/>
          <w:szCs w:val="24"/>
        </w:rPr>
        <w:t>Atlantis</w:t>
      </w:r>
      <w:r w:rsidRPr="00404901">
        <w:rPr>
          <w:sz w:val="24"/>
          <w:szCs w:val="24"/>
          <w:lang w:val="ru-RU"/>
        </w:rPr>
        <w:t xml:space="preserve"> </w:t>
      </w:r>
      <w:r w:rsidRPr="00752299">
        <w:rPr>
          <w:sz w:val="24"/>
          <w:szCs w:val="24"/>
        </w:rPr>
        <w:t>Press</w:t>
      </w:r>
      <w:r w:rsidRPr="00404901">
        <w:rPr>
          <w:sz w:val="24"/>
          <w:szCs w:val="24"/>
          <w:lang w:val="ru-RU"/>
        </w:rPr>
        <w:t xml:space="preserve">, 2024, </w:t>
      </w:r>
      <w:r>
        <w:rPr>
          <w:sz w:val="24"/>
          <w:szCs w:val="24"/>
        </w:rPr>
        <w:t>pp</w:t>
      </w:r>
      <w:r w:rsidRPr="00404901">
        <w:rPr>
          <w:sz w:val="24"/>
          <w:szCs w:val="24"/>
          <w:lang w:val="ru-RU"/>
        </w:rPr>
        <w:t>. 80-89.</w:t>
      </w:r>
    </w:p>
    <w:p w14:paraId="1DBE86D5" w14:textId="0A20C2C2" w:rsidR="00A405CE" w:rsidRDefault="00A405CE" w:rsidP="00BE530B">
      <w:pPr>
        <w:spacing w:after="0" w:line="240" w:lineRule="auto"/>
        <w:ind w:firstLine="709"/>
        <w:rPr>
          <w:sz w:val="24"/>
          <w:szCs w:val="24"/>
          <w:lang w:val="ru-RU"/>
        </w:rPr>
      </w:pPr>
      <w:r>
        <w:rPr>
          <w:sz w:val="24"/>
          <w:szCs w:val="24"/>
          <w:lang w:val="ru-RU"/>
        </w:rPr>
        <w:t xml:space="preserve">2. </w:t>
      </w:r>
      <w:r w:rsidRPr="00A405CE">
        <w:rPr>
          <w:sz w:val="24"/>
          <w:szCs w:val="24"/>
          <w:lang w:val="ru-RU"/>
        </w:rPr>
        <w:t>Керр А. Потерянная Япония. Как исчезает культура великой империи / А. Керр – «Эксмо», 2015 – 144 с.</w:t>
      </w:r>
    </w:p>
    <w:p w14:paraId="3D2830B9" w14:textId="0EB3B7CF" w:rsidR="002817AB" w:rsidRPr="00DC4DF4" w:rsidRDefault="002817AB" w:rsidP="00BE530B">
      <w:pPr>
        <w:spacing w:after="0" w:line="240" w:lineRule="auto"/>
        <w:ind w:firstLine="709"/>
        <w:rPr>
          <w:b/>
          <w:bCs/>
          <w:sz w:val="24"/>
          <w:szCs w:val="24"/>
          <w:lang w:val="ru-RU"/>
        </w:rPr>
      </w:pPr>
      <w:r w:rsidRPr="00DC4DF4">
        <w:rPr>
          <w:b/>
          <w:bCs/>
          <w:sz w:val="24"/>
          <w:szCs w:val="24"/>
          <w:lang w:val="ru-RU"/>
        </w:rPr>
        <w:t>Сетевые ресурсы:</w:t>
      </w:r>
    </w:p>
    <w:p w14:paraId="3A715B4E" w14:textId="039F077C" w:rsidR="002817AB" w:rsidRDefault="00DC4DF4" w:rsidP="00BE530B">
      <w:pPr>
        <w:spacing w:after="0" w:line="240" w:lineRule="auto"/>
        <w:ind w:firstLine="709"/>
        <w:rPr>
          <w:sz w:val="24"/>
          <w:szCs w:val="24"/>
          <w:lang w:val="ru-RU"/>
        </w:rPr>
      </w:pPr>
      <w:r>
        <w:rPr>
          <w:sz w:val="24"/>
          <w:szCs w:val="24"/>
          <w:lang w:val="ru-RU"/>
        </w:rPr>
        <w:t xml:space="preserve">3. </w:t>
      </w:r>
      <w:r w:rsidR="002817AB" w:rsidRPr="002817AB">
        <w:rPr>
          <w:sz w:val="24"/>
          <w:szCs w:val="24"/>
          <w:lang w:val="ru-RU"/>
        </w:rPr>
        <w:t xml:space="preserve">Рецензии - Атака титанов [Электронный ресурс] // Кинопоиск : [сайт]. </w:t>
      </w:r>
      <w:r>
        <w:rPr>
          <w:sz w:val="24"/>
          <w:szCs w:val="24"/>
          <w:lang w:val="ru-RU"/>
        </w:rPr>
        <w:t xml:space="preserve">– </w:t>
      </w:r>
      <w:r w:rsidR="002817AB" w:rsidRPr="002817AB">
        <w:rPr>
          <w:sz w:val="24"/>
          <w:szCs w:val="24"/>
          <w:lang w:val="ru-RU"/>
        </w:rPr>
        <w:t xml:space="preserve">URL: </w:t>
      </w:r>
      <w:hyperlink r:id="rId7" w:history="1">
        <w:r w:rsidR="002817AB" w:rsidRPr="002420B4">
          <w:rPr>
            <w:rStyle w:val="a4"/>
            <w:sz w:val="24"/>
            <w:szCs w:val="24"/>
            <w:lang w:val="ru-RU"/>
          </w:rPr>
          <w:t>https://www.kinopoisk.ru/film/749374/reviews/</w:t>
        </w:r>
      </w:hyperlink>
      <w:r w:rsidR="002817AB">
        <w:rPr>
          <w:sz w:val="24"/>
          <w:szCs w:val="24"/>
          <w:lang w:val="ru-RU"/>
        </w:rPr>
        <w:t xml:space="preserve"> </w:t>
      </w:r>
      <w:r w:rsidR="002817AB" w:rsidRPr="002817AB">
        <w:rPr>
          <w:sz w:val="24"/>
          <w:szCs w:val="24"/>
          <w:lang w:val="ru-RU"/>
        </w:rPr>
        <w:t xml:space="preserve">(дата обращения: </w:t>
      </w:r>
      <w:r>
        <w:rPr>
          <w:sz w:val="24"/>
          <w:szCs w:val="24"/>
          <w:lang w:val="ru-RU"/>
        </w:rPr>
        <w:t>7</w:t>
      </w:r>
      <w:r w:rsidR="002817AB" w:rsidRPr="002817AB">
        <w:rPr>
          <w:sz w:val="24"/>
          <w:szCs w:val="24"/>
          <w:lang w:val="ru-RU"/>
        </w:rPr>
        <w:t>.03.2025).</w:t>
      </w:r>
    </w:p>
    <w:p w14:paraId="0ADD9BED" w14:textId="77777777" w:rsidR="002817AB" w:rsidRDefault="002817AB" w:rsidP="00BE530B">
      <w:pPr>
        <w:spacing w:after="0" w:line="240" w:lineRule="auto"/>
        <w:ind w:firstLine="709"/>
        <w:rPr>
          <w:sz w:val="24"/>
          <w:szCs w:val="24"/>
          <w:lang w:val="ru-RU"/>
        </w:rPr>
      </w:pPr>
    </w:p>
    <w:p w14:paraId="6C38C755" w14:textId="3EE55A9C" w:rsidR="002817AB" w:rsidRPr="002817AB" w:rsidRDefault="002817AB" w:rsidP="002817AB">
      <w:pPr>
        <w:spacing w:after="0" w:line="240" w:lineRule="auto"/>
        <w:ind w:firstLine="0"/>
        <w:jc w:val="center"/>
        <w:rPr>
          <w:b/>
          <w:bCs/>
          <w:sz w:val="24"/>
          <w:szCs w:val="24"/>
          <w:lang w:val="ru-RU"/>
        </w:rPr>
      </w:pPr>
      <w:r w:rsidRPr="002817AB">
        <w:rPr>
          <w:b/>
          <w:bCs/>
          <w:sz w:val="24"/>
          <w:szCs w:val="24"/>
          <w:lang w:val="ru-RU"/>
        </w:rPr>
        <w:t>Информация об авторе</w:t>
      </w:r>
    </w:p>
    <w:p w14:paraId="357EF756" w14:textId="48B8DF76" w:rsidR="002817AB" w:rsidRPr="00404901" w:rsidRDefault="002817AB" w:rsidP="00BE530B">
      <w:pPr>
        <w:spacing w:after="0" w:line="240" w:lineRule="auto"/>
        <w:ind w:firstLine="709"/>
        <w:rPr>
          <w:sz w:val="24"/>
          <w:szCs w:val="24"/>
        </w:rPr>
      </w:pPr>
      <w:r w:rsidRPr="002817AB">
        <w:rPr>
          <w:b/>
          <w:bCs/>
          <w:sz w:val="24"/>
          <w:szCs w:val="24"/>
          <w:lang w:val="ru-RU"/>
        </w:rPr>
        <w:t>Шевцова Александра Евгеньевна (Россия, Тюмень)</w:t>
      </w:r>
      <w:r>
        <w:rPr>
          <w:sz w:val="24"/>
          <w:szCs w:val="24"/>
          <w:lang w:val="ru-RU"/>
        </w:rPr>
        <w:t xml:space="preserve"> – студентка магистратуры «Цифровая социология», Тюменский государственный университет (625003, Россия, г. Тюмень, ул. Ленина</w:t>
      </w:r>
      <w:r w:rsidRPr="00404901">
        <w:rPr>
          <w:sz w:val="24"/>
          <w:szCs w:val="24"/>
        </w:rPr>
        <w:t xml:space="preserve">, </w:t>
      </w:r>
      <w:r>
        <w:rPr>
          <w:sz w:val="24"/>
          <w:szCs w:val="24"/>
          <w:lang w:val="ru-RU"/>
        </w:rPr>
        <w:t>д</w:t>
      </w:r>
      <w:r w:rsidRPr="00404901">
        <w:rPr>
          <w:sz w:val="24"/>
          <w:szCs w:val="24"/>
        </w:rPr>
        <w:t xml:space="preserve">. 16, </w:t>
      </w:r>
      <w:r>
        <w:rPr>
          <w:sz w:val="24"/>
          <w:szCs w:val="24"/>
        </w:rPr>
        <w:t xml:space="preserve">e-mail: </w:t>
      </w:r>
      <w:hyperlink r:id="rId8" w:history="1">
        <w:r w:rsidRPr="002420B4">
          <w:rPr>
            <w:rStyle w:val="a4"/>
            <w:sz w:val="24"/>
            <w:szCs w:val="24"/>
          </w:rPr>
          <w:t>alexendra.shevc@yandex.ru</w:t>
        </w:r>
      </w:hyperlink>
      <w:r w:rsidRPr="00404901">
        <w:rPr>
          <w:sz w:val="24"/>
          <w:szCs w:val="24"/>
        </w:rPr>
        <w:t>)</w:t>
      </w:r>
    </w:p>
    <w:p w14:paraId="60392AF2" w14:textId="77777777" w:rsidR="001A337B" w:rsidRPr="00404901" w:rsidRDefault="001A337B" w:rsidP="00BE530B">
      <w:pPr>
        <w:spacing w:after="0" w:line="240" w:lineRule="auto"/>
        <w:ind w:firstLine="709"/>
        <w:rPr>
          <w:sz w:val="24"/>
          <w:szCs w:val="24"/>
        </w:rPr>
      </w:pPr>
    </w:p>
    <w:p w14:paraId="551CD9B3" w14:textId="2FEB75D8" w:rsidR="001A337B" w:rsidRPr="00404901" w:rsidRDefault="00404901" w:rsidP="001A337B">
      <w:pPr>
        <w:spacing w:after="0" w:line="240" w:lineRule="auto"/>
        <w:ind w:firstLine="0"/>
        <w:jc w:val="center"/>
        <w:rPr>
          <w:b/>
          <w:bCs/>
          <w:sz w:val="24"/>
          <w:szCs w:val="24"/>
        </w:rPr>
      </w:pPr>
      <w:r w:rsidRPr="001A337B">
        <w:rPr>
          <w:b/>
          <w:bCs/>
          <w:sz w:val="24"/>
          <w:szCs w:val="24"/>
        </w:rPr>
        <w:t>ANIME AS A FACTOR OF PERCEPTION OF JAPANESE CULTURE</w:t>
      </w:r>
    </w:p>
    <w:p w14:paraId="11E9A0E3" w14:textId="29D48999" w:rsidR="001A337B" w:rsidRPr="001A337B" w:rsidRDefault="001A337B" w:rsidP="001A337B">
      <w:pPr>
        <w:spacing w:after="0" w:line="240" w:lineRule="auto"/>
        <w:ind w:firstLine="709"/>
        <w:rPr>
          <w:sz w:val="24"/>
          <w:szCs w:val="24"/>
        </w:rPr>
      </w:pPr>
      <w:r w:rsidRPr="001A337B">
        <w:rPr>
          <w:b/>
          <w:bCs/>
          <w:sz w:val="24"/>
          <w:szCs w:val="24"/>
        </w:rPr>
        <w:lastRenderedPageBreak/>
        <w:t>Abstract:</w:t>
      </w:r>
      <w:r w:rsidRPr="001A337B">
        <w:rPr>
          <w:sz w:val="24"/>
          <w:szCs w:val="24"/>
        </w:rPr>
        <w:t xml:space="preserve"> The article explores the influence of anime on the perception of Japanese culture, emphasizing the transmission of values and traditions through plots and symbols. The analysis of the presented foreign anime study "Attack o</w:t>
      </w:r>
      <w:r w:rsidR="00D81486">
        <w:rPr>
          <w:sz w:val="24"/>
          <w:szCs w:val="24"/>
        </w:rPr>
        <w:t xml:space="preserve">n </w:t>
      </w:r>
      <w:r w:rsidRPr="001A337B">
        <w:rPr>
          <w:sz w:val="24"/>
          <w:szCs w:val="24"/>
        </w:rPr>
        <w:t xml:space="preserve">Titan", which reflects aspects of Japanese society such as collectivism and honor, identifies key categories that help to better understand Japanese culture. </w:t>
      </w:r>
    </w:p>
    <w:p w14:paraId="4ACDD997" w14:textId="77777777" w:rsidR="001A337B" w:rsidRPr="001A337B" w:rsidRDefault="001A337B" w:rsidP="001A337B">
      <w:pPr>
        <w:spacing w:after="0" w:line="240" w:lineRule="auto"/>
        <w:ind w:firstLine="709"/>
        <w:rPr>
          <w:sz w:val="24"/>
          <w:szCs w:val="24"/>
        </w:rPr>
      </w:pPr>
      <w:r w:rsidRPr="001A337B">
        <w:rPr>
          <w:b/>
          <w:bCs/>
          <w:sz w:val="24"/>
          <w:szCs w:val="24"/>
        </w:rPr>
        <w:t>Keywords:</w:t>
      </w:r>
      <w:r w:rsidRPr="001A337B">
        <w:rPr>
          <w:sz w:val="24"/>
          <w:szCs w:val="24"/>
        </w:rPr>
        <w:t xml:space="preserve"> anime, Japanese culture, cultural exchange, perception, symbolism.</w:t>
      </w:r>
    </w:p>
    <w:p w14:paraId="320A7AFB" w14:textId="77777777" w:rsidR="001A337B" w:rsidRPr="00404901" w:rsidRDefault="001A337B" w:rsidP="001A337B">
      <w:pPr>
        <w:spacing w:after="0" w:line="240" w:lineRule="auto"/>
        <w:ind w:firstLine="709"/>
        <w:rPr>
          <w:sz w:val="24"/>
          <w:szCs w:val="24"/>
        </w:rPr>
      </w:pPr>
    </w:p>
    <w:p w14:paraId="56214760" w14:textId="4D8DFEAB" w:rsidR="001A337B" w:rsidRPr="001A337B" w:rsidRDefault="001A337B" w:rsidP="001A337B">
      <w:pPr>
        <w:spacing w:after="0" w:line="240" w:lineRule="auto"/>
        <w:ind w:firstLine="0"/>
        <w:jc w:val="center"/>
        <w:rPr>
          <w:b/>
          <w:bCs/>
          <w:sz w:val="24"/>
          <w:szCs w:val="24"/>
        </w:rPr>
      </w:pPr>
      <w:r w:rsidRPr="001A337B">
        <w:rPr>
          <w:b/>
          <w:bCs/>
          <w:sz w:val="24"/>
          <w:szCs w:val="24"/>
        </w:rPr>
        <w:t>About the author</w:t>
      </w:r>
    </w:p>
    <w:p w14:paraId="55BC1FB1" w14:textId="00F191E9" w:rsidR="001A337B" w:rsidRPr="001A337B" w:rsidRDefault="001A337B" w:rsidP="001A337B">
      <w:pPr>
        <w:spacing w:after="0" w:line="240" w:lineRule="auto"/>
        <w:ind w:firstLine="709"/>
        <w:rPr>
          <w:sz w:val="24"/>
          <w:szCs w:val="24"/>
        </w:rPr>
      </w:pPr>
      <w:r w:rsidRPr="001A337B">
        <w:rPr>
          <w:sz w:val="24"/>
          <w:szCs w:val="24"/>
        </w:rPr>
        <w:t xml:space="preserve">Shevtsova Alexandra Evgenievna (Russia, Tyumen) – </w:t>
      </w:r>
      <w:r w:rsidR="0040780B" w:rsidRPr="0040780B">
        <w:rPr>
          <w:sz w:val="24"/>
          <w:szCs w:val="24"/>
        </w:rPr>
        <w:t>Master's Degree student</w:t>
      </w:r>
      <w:r w:rsidRPr="001A337B">
        <w:rPr>
          <w:sz w:val="24"/>
          <w:szCs w:val="24"/>
        </w:rPr>
        <w:t xml:space="preserve"> in Digital Sociology, Tyumen State University (16 Lenin St., Tyumen, 625003, Russia, e-mail: </w:t>
      </w:r>
      <w:hyperlink r:id="rId9" w:history="1">
        <w:r w:rsidRPr="002420B4">
          <w:rPr>
            <w:rStyle w:val="a4"/>
            <w:sz w:val="24"/>
            <w:szCs w:val="24"/>
          </w:rPr>
          <w:t>alexendra.shevc@yandex.ru</w:t>
        </w:r>
      </w:hyperlink>
      <w:r>
        <w:rPr>
          <w:sz w:val="24"/>
          <w:szCs w:val="24"/>
        </w:rPr>
        <w:t>)</w:t>
      </w:r>
    </w:p>
    <w:p w14:paraId="6B2C5AA1" w14:textId="77777777" w:rsidR="001A337B" w:rsidRDefault="001A337B" w:rsidP="001A337B">
      <w:pPr>
        <w:spacing w:after="0" w:line="240" w:lineRule="auto"/>
        <w:ind w:firstLine="709"/>
        <w:rPr>
          <w:sz w:val="24"/>
          <w:szCs w:val="24"/>
        </w:rPr>
      </w:pPr>
    </w:p>
    <w:p w14:paraId="2AA4924E" w14:textId="77777777" w:rsidR="001A337B" w:rsidRPr="001A337B" w:rsidRDefault="001A337B" w:rsidP="001A337B">
      <w:pPr>
        <w:spacing w:after="0" w:line="240" w:lineRule="auto"/>
        <w:ind w:firstLine="0"/>
        <w:jc w:val="center"/>
        <w:rPr>
          <w:b/>
          <w:bCs/>
          <w:sz w:val="24"/>
          <w:szCs w:val="24"/>
        </w:rPr>
      </w:pPr>
      <w:r w:rsidRPr="001A337B">
        <w:rPr>
          <w:b/>
          <w:bCs/>
          <w:sz w:val="24"/>
          <w:szCs w:val="24"/>
        </w:rPr>
        <w:t>References</w:t>
      </w:r>
    </w:p>
    <w:p w14:paraId="24B61392" w14:textId="77559E3D" w:rsidR="001A337B" w:rsidRPr="001A337B" w:rsidRDefault="001A337B" w:rsidP="001A337B">
      <w:pPr>
        <w:spacing w:after="0" w:line="240" w:lineRule="auto"/>
        <w:ind w:firstLine="709"/>
        <w:rPr>
          <w:sz w:val="24"/>
          <w:szCs w:val="24"/>
        </w:rPr>
      </w:pPr>
      <w:r w:rsidRPr="001A337B">
        <w:rPr>
          <w:sz w:val="24"/>
          <w:szCs w:val="24"/>
        </w:rPr>
        <w:t>1. Ahmad H.A., Faradilla N. Representation of Japanese Sociocultural Elements in the Anime Series Attack on Titan. Proceedings of the 3rd International Conference of Art, Craft, Culture and Design (ICON-ARCCADE 2023). Atlantis Press, 2024, pp. 80-89.</w:t>
      </w:r>
    </w:p>
    <w:p w14:paraId="78199B0E" w14:textId="77777777" w:rsidR="001A337B" w:rsidRPr="00404901" w:rsidRDefault="001A337B" w:rsidP="001A337B">
      <w:pPr>
        <w:spacing w:after="0" w:line="240" w:lineRule="auto"/>
        <w:ind w:firstLine="709"/>
        <w:rPr>
          <w:sz w:val="24"/>
          <w:szCs w:val="24"/>
        </w:rPr>
      </w:pPr>
      <w:r w:rsidRPr="001A337B">
        <w:rPr>
          <w:sz w:val="24"/>
          <w:szCs w:val="24"/>
        </w:rPr>
        <w:t>2. Kerr A. Lost Japan. How the culture of the great Empire disappears / A. Kerr – Eksmo, 2015 – 144 p.</w:t>
      </w:r>
    </w:p>
    <w:p w14:paraId="095E722F" w14:textId="77777777" w:rsidR="001A337B" w:rsidRPr="001A337B" w:rsidRDefault="001A337B" w:rsidP="001A337B">
      <w:pPr>
        <w:spacing w:after="0" w:line="240" w:lineRule="auto"/>
        <w:ind w:firstLine="709"/>
        <w:rPr>
          <w:b/>
          <w:bCs/>
          <w:sz w:val="24"/>
          <w:szCs w:val="24"/>
        </w:rPr>
      </w:pPr>
      <w:r w:rsidRPr="001A337B">
        <w:rPr>
          <w:b/>
          <w:bCs/>
          <w:sz w:val="24"/>
          <w:szCs w:val="24"/>
        </w:rPr>
        <w:t>Network resources:</w:t>
      </w:r>
    </w:p>
    <w:p w14:paraId="42586C27" w14:textId="074F1F90" w:rsidR="001A337B" w:rsidRPr="001A337B" w:rsidRDefault="001A337B" w:rsidP="001A337B">
      <w:pPr>
        <w:spacing w:after="0" w:line="240" w:lineRule="auto"/>
        <w:ind w:firstLine="709"/>
        <w:rPr>
          <w:sz w:val="24"/>
          <w:szCs w:val="24"/>
        </w:rPr>
      </w:pPr>
      <w:r w:rsidRPr="001A337B">
        <w:rPr>
          <w:sz w:val="24"/>
          <w:szCs w:val="24"/>
        </w:rPr>
        <w:t>3. Reviews - Attack of the Titans [Electronic resource] // Kinopoisk : [website]. – URL: https://www.kinopoisk.ru/film/749374/reviews / (date of request: 7.03.2025).</w:t>
      </w:r>
    </w:p>
    <w:sectPr w:rsidR="001A337B" w:rsidRPr="001A337B" w:rsidSect="007B63C5">
      <w:footerReference w:type="default" r:id="rId10"/>
      <w:pgSz w:w="11905" w:h="16837"/>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7F291" w14:textId="77777777" w:rsidR="003F2995" w:rsidRDefault="003F2995">
      <w:pPr>
        <w:spacing w:after="0" w:line="240" w:lineRule="auto"/>
      </w:pPr>
      <w:r>
        <w:separator/>
      </w:r>
    </w:p>
  </w:endnote>
  <w:endnote w:type="continuationSeparator" w:id="0">
    <w:p w14:paraId="3978D2A3" w14:textId="77777777" w:rsidR="003F2995" w:rsidRDefault="003F2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7A90B" w14:textId="77777777" w:rsidR="001831B9" w:rsidRDefault="00000000">
    <w:pPr>
      <w:jc w:val="center"/>
    </w:pPr>
    <w:r>
      <w:fldChar w:fldCharType="begin"/>
    </w:r>
    <w:r>
      <w:instrText>PAGE</w:instrText>
    </w:r>
    <w:r>
      <w:fldChar w:fldCharType="separate"/>
    </w:r>
    <w:r w:rsidR="00F76A43">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794EDB" w14:textId="77777777" w:rsidR="003F2995" w:rsidRDefault="003F2995">
      <w:pPr>
        <w:spacing w:after="0" w:line="240" w:lineRule="auto"/>
      </w:pPr>
      <w:r>
        <w:separator/>
      </w:r>
    </w:p>
  </w:footnote>
  <w:footnote w:type="continuationSeparator" w:id="0">
    <w:p w14:paraId="5DB0A85A" w14:textId="77777777" w:rsidR="003F2995" w:rsidRDefault="003F29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E91BCD1"/>
    <w:multiLevelType w:val="hybridMultilevel"/>
    <w:tmpl w:val="CF6E64F8"/>
    <w:lvl w:ilvl="0" w:tplc="D41EFDFE">
      <w:start w:val="1"/>
      <w:numFmt w:val="bullet"/>
      <w:lvlText w:val=""/>
      <w:lvlJc w:val="left"/>
      <w:pPr>
        <w:tabs>
          <w:tab w:val="num" w:pos="720"/>
        </w:tabs>
        <w:ind w:left="720" w:hanging="360"/>
      </w:pPr>
      <w:rPr>
        <w:rFonts w:ascii="Symbol" w:hAnsi="Symbol" w:cs="Symbol" w:hint="default"/>
      </w:rPr>
    </w:lvl>
    <w:lvl w:ilvl="1" w:tplc="90B85EA2">
      <w:start w:val="1"/>
      <w:numFmt w:val="bullet"/>
      <w:lvlText w:val="o"/>
      <w:lvlJc w:val="left"/>
      <w:pPr>
        <w:tabs>
          <w:tab w:val="num" w:pos="1440"/>
        </w:tabs>
        <w:ind w:left="1440" w:hanging="360"/>
      </w:pPr>
      <w:rPr>
        <w:rFonts w:ascii="Courier New" w:hAnsi="Courier New" w:cs="Courier New" w:hint="default"/>
      </w:rPr>
    </w:lvl>
    <w:lvl w:ilvl="2" w:tplc="CABADE74">
      <w:start w:val="1"/>
      <w:numFmt w:val="bullet"/>
      <w:lvlText w:val=""/>
      <w:lvlJc w:val="left"/>
      <w:pPr>
        <w:tabs>
          <w:tab w:val="num" w:pos="2160"/>
        </w:tabs>
        <w:ind w:left="2160" w:hanging="360"/>
      </w:pPr>
      <w:rPr>
        <w:rFonts w:ascii="Wingdings" w:hAnsi="Wingdings" w:cs="Wingdings" w:hint="default"/>
      </w:rPr>
    </w:lvl>
    <w:lvl w:ilvl="3" w:tplc="A860033E">
      <w:start w:val="1"/>
      <w:numFmt w:val="bullet"/>
      <w:lvlText w:val=""/>
      <w:lvlJc w:val="left"/>
      <w:pPr>
        <w:tabs>
          <w:tab w:val="num" w:pos="2880"/>
        </w:tabs>
        <w:ind w:left="2880" w:hanging="360"/>
      </w:pPr>
      <w:rPr>
        <w:rFonts w:ascii="Symbol" w:hAnsi="Symbol" w:cs="Symbol" w:hint="default"/>
      </w:rPr>
    </w:lvl>
    <w:lvl w:ilvl="4" w:tplc="C8060D8A">
      <w:start w:val="1"/>
      <w:numFmt w:val="bullet"/>
      <w:lvlText w:val="o"/>
      <w:lvlJc w:val="left"/>
      <w:pPr>
        <w:tabs>
          <w:tab w:val="num" w:pos="3600"/>
        </w:tabs>
        <w:ind w:left="3600" w:hanging="360"/>
      </w:pPr>
      <w:rPr>
        <w:rFonts w:ascii="Courier New" w:hAnsi="Courier New" w:cs="Courier New" w:hint="default"/>
      </w:rPr>
    </w:lvl>
    <w:lvl w:ilvl="5" w:tplc="EDB243D6">
      <w:start w:val="1"/>
      <w:numFmt w:val="bullet"/>
      <w:lvlText w:val=""/>
      <w:lvlJc w:val="left"/>
      <w:pPr>
        <w:tabs>
          <w:tab w:val="num" w:pos="4320"/>
        </w:tabs>
        <w:ind w:left="4320" w:hanging="360"/>
      </w:pPr>
      <w:rPr>
        <w:rFonts w:ascii="Wingdings" w:hAnsi="Wingdings" w:cs="Wingdings" w:hint="default"/>
      </w:rPr>
    </w:lvl>
    <w:lvl w:ilvl="6" w:tplc="FC1C475A">
      <w:start w:val="1"/>
      <w:numFmt w:val="bullet"/>
      <w:lvlText w:val=""/>
      <w:lvlJc w:val="left"/>
      <w:pPr>
        <w:tabs>
          <w:tab w:val="num" w:pos="5040"/>
        </w:tabs>
        <w:ind w:left="5040" w:hanging="360"/>
      </w:pPr>
      <w:rPr>
        <w:rFonts w:ascii="Symbol" w:hAnsi="Symbol" w:cs="Symbol" w:hint="default"/>
      </w:rPr>
    </w:lvl>
    <w:lvl w:ilvl="7" w:tplc="BC12AFA2">
      <w:start w:val="1"/>
      <w:numFmt w:val="bullet"/>
      <w:lvlText w:val="o"/>
      <w:lvlJc w:val="left"/>
      <w:pPr>
        <w:tabs>
          <w:tab w:val="num" w:pos="5760"/>
        </w:tabs>
        <w:ind w:left="5760" w:hanging="360"/>
      </w:pPr>
      <w:rPr>
        <w:rFonts w:ascii="Courier New" w:hAnsi="Courier New" w:cs="Courier New" w:hint="default"/>
      </w:rPr>
    </w:lvl>
    <w:lvl w:ilvl="8" w:tplc="7E38A67C">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E80C2593"/>
    <w:multiLevelType w:val="hybridMultilevel"/>
    <w:tmpl w:val="D05CDD8A"/>
    <w:lvl w:ilvl="0" w:tplc="8306149C">
      <w:start w:val="1"/>
      <w:numFmt w:val="decimal"/>
      <w:lvlText w:val="%1."/>
      <w:lvlJc w:val="left"/>
      <w:pPr>
        <w:tabs>
          <w:tab w:val="num" w:pos="720"/>
        </w:tabs>
        <w:ind w:left="720" w:hanging="360"/>
      </w:pPr>
      <w:rPr>
        <w:rFonts w:hint="default"/>
      </w:rPr>
    </w:lvl>
    <w:lvl w:ilvl="1" w:tplc="15C6C328">
      <w:start w:val="1"/>
      <w:numFmt w:val="bullet"/>
      <w:lvlText w:val="o"/>
      <w:lvlJc w:val="left"/>
      <w:pPr>
        <w:tabs>
          <w:tab w:val="num" w:pos="1440"/>
        </w:tabs>
        <w:ind w:left="1440" w:hanging="360"/>
      </w:pPr>
      <w:rPr>
        <w:rFonts w:ascii="Courier New" w:hAnsi="Courier New" w:cs="Courier New" w:hint="default"/>
      </w:rPr>
    </w:lvl>
    <w:lvl w:ilvl="2" w:tplc="5E623480">
      <w:start w:val="1"/>
      <w:numFmt w:val="bullet"/>
      <w:lvlText w:val=""/>
      <w:lvlJc w:val="left"/>
      <w:pPr>
        <w:tabs>
          <w:tab w:val="num" w:pos="2160"/>
        </w:tabs>
        <w:ind w:left="2160" w:hanging="360"/>
      </w:pPr>
      <w:rPr>
        <w:rFonts w:ascii="Wingdings" w:hAnsi="Wingdings" w:cs="Wingdings" w:hint="default"/>
      </w:rPr>
    </w:lvl>
    <w:lvl w:ilvl="3" w:tplc="61BE0ACA">
      <w:start w:val="1"/>
      <w:numFmt w:val="bullet"/>
      <w:lvlText w:val=""/>
      <w:lvlJc w:val="left"/>
      <w:pPr>
        <w:tabs>
          <w:tab w:val="num" w:pos="2880"/>
        </w:tabs>
        <w:ind w:left="2880" w:hanging="360"/>
      </w:pPr>
      <w:rPr>
        <w:rFonts w:ascii="Symbol" w:hAnsi="Symbol" w:cs="Symbol" w:hint="default"/>
      </w:rPr>
    </w:lvl>
    <w:lvl w:ilvl="4" w:tplc="5A7A7A00">
      <w:start w:val="1"/>
      <w:numFmt w:val="bullet"/>
      <w:lvlText w:val="o"/>
      <w:lvlJc w:val="left"/>
      <w:pPr>
        <w:tabs>
          <w:tab w:val="num" w:pos="3600"/>
        </w:tabs>
        <w:ind w:left="3600" w:hanging="360"/>
      </w:pPr>
      <w:rPr>
        <w:rFonts w:ascii="Courier New" w:hAnsi="Courier New" w:cs="Courier New" w:hint="default"/>
      </w:rPr>
    </w:lvl>
    <w:lvl w:ilvl="5" w:tplc="D3D41412">
      <w:start w:val="1"/>
      <w:numFmt w:val="bullet"/>
      <w:lvlText w:val=""/>
      <w:lvlJc w:val="left"/>
      <w:pPr>
        <w:tabs>
          <w:tab w:val="num" w:pos="4320"/>
        </w:tabs>
        <w:ind w:left="4320" w:hanging="360"/>
      </w:pPr>
      <w:rPr>
        <w:rFonts w:ascii="Wingdings" w:hAnsi="Wingdings" w:cs="Wingdings" w:hint="default"/>
      </w:rPr>
    </w:lvl>
    <w:lvl w:ilvl="6" w:tplc="5ACE1054">
      <w:start w:val="1"/>
      <w:numFmt w:val="bullet"/>
      <w:lvlText w:val=""/>
      <w:lvlJc w:val="left"/>
      <w:pPr>
        <w:tabs>
          <w:tab w:val="num" w:pos="5040"/>
        </w:tabs>
        <w:ind w:left="5040" w:hanging="360"/>
      </w:pPr>
      <w:rPr>
        <w:rFonts w:ascii="Symbol" w:hAnsi="Symbol" w:cs="Symbol" w:hint="default"/>
      </w:rPr>
    </w:lvl>
    <w:lvl w:ilvl="7" w:tplc="BDA4DBC4">
      <w:start w:val="1"/>
      <w:numFmt w:val="bullet"/>
      <w:lvlText w:val="o"/>
      <w:lvlJc w:val="left"/>
      <w:pPr>
        <w:tabs>
          <w:tab w:val="num" w:pos="5760"/>
        </w:tabs>
        <w:ind w:left="5760" w:hanging="360"/>
      </w:pPr>
      <w:rPr>
        <w:rFonts w:ascii="Courier New" w:hAnsi="Courier New" w:cs="Courier New" w:hint="default"/>
      </w:rPr>
    </w:lvl>
    <w:lvl w:ilvl="8" w:tplc="9E686BA8">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E0E6913"/>
    <w:multiLevelType w:val="hybridMultilevel"/>
    <w:tmpl w:val="7EA862E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D152F0B"/>
    <w:multiLevelType w:val="hybridMultilevel"/>
    <w:tmpl w:val="E49CEF94"/>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876162197">
    <w:abstractNumId w:val="0"/>
  </w:num>
  <w:num w:numId="2" w16cid:durableId="1641960332">
    <w:abstractNumId w:val="1"/>
  </w:num>
  <w:num w:numId="3" w16cid:durableId="1550603388">
    <w:abstractNumId w:val="3"/>
  </w:num>
  <w:num w:numId="4" w16cid:durableId="863860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831B9"/>
    <w:rsid w:val="00024DEA"/>
    <w:rsid w:val="001831B9"/>
    <w:rsid w:val="0018372D"/>
    <w:rsid w:val="001A337B"/>
    <w:rsid w:val="002817AB"/>
    <w:rsid w:val="00376280"/>
    <w:rsid w:val="003F2995"/>
    <w:rsid w:val="00404901"/>
    <w:rsid w:val="0040780B"/>
    <w:rsid w:val="00487B7D"/>
    <w:rsid w:val="005163DF"/>
    <w:rsid w:val="00654238"/>
    <w:rsid w:val="006F6841"/>
    <w:rsid w:val="00702B86"/>
    <w:rsid w:val="00752299"/>
    <w:rsid w:val="007569D0"/>
    <w:rsid w:val="007B63C5"/>
    <w:rsid w:val="007E3E6E"/>
    <w:rsid w:val="007E6C3A"/>
    <w:rsid w:val="00A405CE"/>
    <w:rsid w:val="00A85902"/>
    <w:rsid w:val="00A94B2E"/>
    <w:rsid w:val="00B158C1"/>
    <w:rsid w:val="00BE530B"/>
    <w:rsid w:val="00BE5E1B"/>
    <w:rsid w:val="00C21303"/>
    <w:rsid w:val="00D81486"/>
    <w:rsid w:val="00DC4DF4"/>
    <w:rsid w:val="00DC6B76"/>
    <w:rsid w:val="00E74833"/>
    <w:rsid w:val="00F76A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E1E2E"/>
  <w15:docId w15:val="{C643678A-E0BC-4E9B-8F99-5E89DFB6D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en-US" w:eastAsia="ru-RU"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708"/>
      <w:jc w:val="both"/>
    </w:pPr>
  </w:style>
  <w:style w:type="paragraph" w:styleId="1">
    <w:name w:val="heading 1"/>
    <w:basedOn w:val="a"/>
    <w:uiPriority w:val="9"/>
    <w:qFormat/>
    <w:pPr>
      <w:outlineLvl w:val="0"/>
    </w:pPr>
    <w:rPr>
      <w:b/>
      <w:bCs/>
      <w:color w:val="000000"/>
    </w:rPr>
  </w:style>
  <w:style w:type="paragraph" w:styleId="2">
    <w:name w:val="heading 2"/>
    <w:basedOn w:val="a"/>
    <w:uiPriority w:val="9"/>
    <w:unhideWhenUsed/>
    <w:qFormat/>
    <w:pPr>
      <w:outlineLvl w:val="1"/>
    </w:pPr>
    <w:rPr>
      <w:b/>
      <w:bCs/>
      <w:color w:val="000000"/>
    </w:rPr>
  </w:style>
  <w:style w:type="paragraph" w:styleId="3">
    <w:name w:val="heading 3"/>
    <w:basedOn w:val="a"/>
    <w:uiPriority w:val="9"/>
    <w:semiHidden/>
    <w:unhideWhenUsed/>
    <w:qFormat/>
    <w:pPr>
      <w:outlineLvl w:val="2"/>
    </w:pPr>
    <w:rPr>
      <w:b/>
      <w:bCs/>
      <w:color w:val="000000"/>
    </w:rPr>
  </w:style>
  <w:style w:type="paragraph" w:styleId="4">
    <w:name w:val="heading 4"/>
    <w:basedOn w:val="a"/>
    <w:uiPriority w:val="9"/>
    <w:semiHidden/>
    <w:unhideWhenUsed/>
    <w:qFormat/>
    <w:pPr>
      <w:outlineLvl w:val="3"/>
    </w:pPr>
    <w:rPr>
      <w:b/>
      <w:bCs/>
      <w:color w:val="000000"/>
    </w:rPr>
  </w:style>
  <w:style w:type="paragraph" w:styleId="5">
    <w:name w:val="heading 5"/>
    <w:basedOn w:val="a"/>
    <w:uiPriority w:val="9"/>
    <w:semiHidden/>
    <w:unhideWhenUsed/>
    <w:qFormat/>
    <w:pPr>
      <w:outlineLvl w:val="4"/>
    </w:pPr>
    <w:rPr>
      <w:b/>
      <w:bCs/>
      <w:color w:val="000000"/>
    </w:rPr>
  </w:style>
  <w:style w:type="paragraph" w:styleId="6">
    <w:name w:val="heading 6"/>
    <w:basedOn w:val="a"/>
    <w:uiPriority w:val="9"/>
    <w:semiHidden/>
    <w:unhideWhenUsed/>
    <w:qFormat/>
    <w:pPr>
      <w:outlineLvl w:val="5"/>
    </w:pPr>
    <w:rPr>
      <w:b/>
      <w:b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semiHidden/>
    <w:unhideWhenUsed/>
    <w:rPr>
      <w:vertAlign w:val="superscript"/>
    </w:rPr>
  </w:style>
  <w:style w:type="paragraph" w:customStyle="1" w:styleId="pStyle">
    <w:name w:val="pStyle"/>
    <w:basedOn w:val="a"/>
    <w:pPr>
      <w:spacing w:after="0"/>
      <w:jc w:val="center"/>
    </w:pPr>
  </w:style>
  <w:style w:type="character" w:customStyle="1" w:styleId="wtStyle">
    <w:name w:val="wtStyle"/>
    <w:rPr>
      <w:b/>
      <w:bCs/>
      <w:sz w:val="48"/>
      <w:szCs w:val="48"/>
    </w:rPr>
  </w:style>
  <w:style w:type="paragraph" w:customStyle="1" w:styleId="indentAndSpace">
    <w:name w:val="indentAndSpace"/>
    <w:basedOn w:val="a"/>
    <w:pPr>
      <w:spacing w:after="5"/>
      <w:ind w:left="5760" w:firstLine="0"/>
    </w:pPr>
  </w:style>
  <w:style w:type="paragraph" w:customStyle="1" w:styleId="indentPStyle">
    <w:name w:val="indentPStyle"/>
    <w:basedOn w:val="a"/>
    <w:pPr>
      <w:ind w:left="5760" w:firstLine="0"/>
    </w:pPr>
  </w:style>
  <w:style w:type="character" w:styleId="a4">
    <w:name w:val="Hyperlink"/>
    <w:basedOn w:val="a0"/>
    <w:uiPriority w:val="99"/>
    <w:unhideWhenUsed/>
    <w:rsid w:val="00487B7D"/>
    <w:rPr>
      <w:color w:val="0000FF" w:themeColor="hyperlink"/>
      <w:u w:val="single"/>
    </w:rPr>
  </w:style>
  <w:style w:type="character" w:styleId="a5">
    <w:name w:val="Unresolved Mention"/>
    <w:basedOn w:val="a0"/>
    <w:uiPriority w:val="99"/>
    <w:semiHidden/>
    <w:unhideWhenUsed/>
    <w:rsid w:val="00487B7D"/>
    <w:rPr>
      <w:color w:val="605E5C"/>
      <w:shd w:val="clear" w:color="auto" w:fill="E1DFDD"/>
    </w:rPr>
  </w:style>
  <w:style w:type="paragraph" w:styleId="a6">
    <w:name w:val="List Paragraph"/>
    <w:basedOn w:val="a"/>
    <w:uiPriority w:val="34"/>
    <w:qFormat/>
    <w:rsid w:val="00024D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lexendra.shevc@yandex.ru" TargetMode="External"/><Relationship Id="rId3" Type="http://schemas.openxmlformats.org/officeDocument/2006/relationships/settings" Target="settings.xml"/><Relationship Id="rId7" Type="http://schemas.openxmlformats.org/officeDocument/2006/relationships/hyperlink" Target="https://www.kinopoisk.ru/film/749374/review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alexendra.shevc@yandex.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3</Pages>
  <Words>1215</Words>
  <Characters>6926</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Manager/>
  <Company/>
  <LinksUpToDate>false</LinksUpToDate>
  <CharactersWithSpaces>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Никита Морозов</cp:lastModifiedBy>
  <cp:revision>8</cp:revision>
  <dcterms:created xsi:type="dcterms:W3CDTF">2025-03-21T00:45:00Z</dcterms:created>
  <dcterms:modified xsi:type="dcterms:W3CDTF">2025-03-21T05:49:00Z</dcterms:modified>
  <cp:category/>
</cp:coreProperties>
</file>