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3E16C" w14:textId="77777777" w:rsidR="00E80063" w:rsidRPr="00325ACF" w:rsidRDefault="0032781D">
      <w:pPr>
        <w:pStyle w:val="2"/>
        <w:rPr>
          <w:rFonts w:ascii="Times New Roman" w:hAnsi="Times New Roman" w:cs="Times New Roman"/>
          <w:b/>
          <w:sz w:val="24"/>
          <w:szCs w:val="24"/>
        </w:rPr>
      </w:pPr>
      <w:r w:rsidRPr="00325ACF"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="0041727A" w:rsidRPr="00325ACF">
        <w:rPr>
          <w:rFonts w:ascii="Times New Roman" w:hAnsi="Times New Roman" w:cs="Times New Roman"/>
          <w:b/>
          <w:sz w:val="24"/>
          <w:szCs w:val="24"/>
        </w:rPr>
        <w:t>330.16:</w:t>
      </w:r>
      <w:r w:rsidR="00C30260" w:rsidRPr="00325ACF">
        <w:rPr>
          <w:rFonts w:ascii="Times New Roman" w:hAnsi="Times New Roman" w:cs="Times New Roman"/>
          <w:b/>
          <w:sz w:val="24"/>
          <w:szCs w:val="24"/>
        </w:rPr>
        <w:t>61</w:t>
      </w:r>
      <w:r w:rsidR="00CA4EDE" w:rsidRPr="00325ACF">
        <w:rPr>
          <w:rFonts w:ascii="Times New Roman" w:hAnsi="Times New Roman" w:cs="Times New Roman"/>
          <w:b/>
          <w:sz w:val="24"/>
          <w:szCs w:val="24"/>
        </w:rPr>
        <w:t>3</w:t>
      </w:r>
      <w:r w:rsidR="00C30260" w:rsidRPr="00325ACF">
        <w:rPr>
          <w:rFonts w:ascii="Times New Roman" w:hAnsi="Times New Roman" w:cs="Times New Roman"/>
          <w:b/>
          <w:sz w:val="24"/>
          <w:szCs w:val="24"/>
        </w:rPr>
        <w:t>.</w:t>
      </w:r>
      <w:r w:rsidR="00CA4EDE" w:rsidRPr="00325ACF">
        <w:rPr>
          <w:rFonts w:ascii="Times New Roman" w:hAnsi="Times New Roman" w:cs="Times New Roman"/>
          <w:b/>
          <w:sz w:val="24"/>
          <w:szCs w:val="24"/>
        </w:rPr>
        <w:t>2</w:t>
      </w:r>
      <w:r w:rsidR="00C30260" w:rsidRPr="00325A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25ACF">
        <w:rPr>
          <w:rFonts w:ascii="Times New Roman" w:hAnsi="Times New Roman" w:cs="Times New Roman"/>
          <w:b/>
          <w:sz w:val="24"/>
          <w:szCs w:val="24"/>
        </w:rPr>
        <w:t xml:space="preserve">/ ББК </w:t>
      </w:r>
      <w:r w:rsidR="00C30260" w:rsidRPr="00325ACF">
        <w:rPr>
          <w:rFonts w:ascii="Times New Roman" w:hAnsi="Times New Roman" w:cs="Times New Roman"/>
          <w:b/>
          <w:sz w:val="24"/>
          <w:szCs w:val="24"/>
        </w:rPr>
        <w:t>51.23</w:t>
      </w:r>
    </w:p>
    <w:p w14:paraId="2CBBA089" w14:textId="77777777" w:rsidR="00E80063" w:rsidRPr="00325ACF" w:rsidRDefault="00B03100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325ACF">
        <w:rPr>
          <w:rFonts w:ascii="Times New Roman" w:hAnsi="Times New Roman" w:cs="Times New Roman"/>
          <w:b/>
          <w:sz w:val="24"/>
          <w:szCs w:val="24"/>
        </w:rPr>
        <w:t>Сирковская Т.В</w:t>
      </w:r>
      <w:r w:rsidR="0032781D" w:rsidRPr="00325ACF">
        <w:rPr>
          <w:rFonts w:ascii="Times New Roman" w:hAnsi="Times New Roman" w:cs="Times New Roman"/>
          <w:b/>
          <w:sz w:val="24"/>
          <w:szCs w:val="24"/>
        </w:rPr>
        <w:t>.</w:t>
      </w:r>
    </w:p>
    <w:p w14:paraId="350A795F" w14:textId="77777777" w:rsidR="00E80063" w:rsidRPr="00325ACF" w:rsidRDefault="00EE1AA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29337751"/>
      <w:bookmarkStart w:id="1" w:name="_Toc132353867"/>
      <w:r w:rsidRPr="00325ACF">
        <w:rPr>
          <w:rFonts w:ascii="Times New Roman" w:hAnsi="Times New Roman" w:cs="Times New Roman"/>
          <w:b/>
          <w:bCs/>
          <w:sz w:val="24"/>
          <w:szCs w:val="24"/>
        </w:rPr>
        <w:t>ПРОДОВОЛЬСТВЕННОЕ БЛАГОПОЛУЧИЕ В МЕГАПОЛИСАХ</w:t>
      </w:r>
      <w:r w:rsidR="004B2568" w:rsidRPr="00325ACF">
        <w:rPr>
          <w:rFonts w:ascii="Times New Roman" w:hAnsi="Times New Roman" w:cs="Times New Roman"/>
          <w:b/>
          <w:bCs/>
          <w:sz w:val="24"/>
          <w:szCs w:val="24"/>
        </w:rPr>
        <w:t xml:space="preserve"> (НА ПРИМЕРЕ </w:t>
      </w:r>
      <w:r w:rsidRPr="00325ACF">
        <w:rPr>
          <w:rFonts w:ascii="Times New Roman" w:hAnsi="Times New Roman" w:cs="Times New Roman"/>
          <w:b/>
          <w:bCs/>
          <w:sz w:val="24"/>
          <w:szCs w:val="24"/>
        </w:rPr>
        <w:t>ОЦЕНК</w:t>
      </w:r>
      <w:r w:rsidR="004B2568" w:rsidRPr="00325ACF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Pr="00325ACF">
        <w:rPr>
          <w:rFonts w:ascii="Times New Roman" w:hAnsi="Times New Roman" w:cs="Times New Roman"/>
          <w:b/>
          <w:bCs/>
          <w:sz w:val="24"/>
          <w:szCs w:val="24"/>
        </w:rPr>
        <w:t xml:space="preserve"> СТРУКТУРЫ ПИТАНИЯ ЖИТЕЛЕЙ </w:t>
      </w:r>
      <w:r w:rsidR="00765AED" w:rsidRPr="00325ACF">
        <w:rPr>
          <w:rFonts w:ascii="Times New Roman" w:hAnsi="Times New Roman" w:cs="Times New Roman"/>
          <w:b/>
          <w:bCs/>
          <w:sz w:val="24"/>
          <w:szCs w:val="24"/>
        </w:rPr>
        <w:t>Г. ПЕРМИ</w:t>
      </w:r>
      <w:bookmarkEnd w:id="1"/>
      <w:r w:rsidR="004B2568" w:rsidRPr="00325ACF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6DDEF492" w14:textId="77777777" w:rsidR="00E80063" w:rsidRPr="00BE70B2" w:rsidRDefault="00E8006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1D5974AF" w14:textId="3A6BBB26" w:rsidR="00E80063" w:rsidRPr="00BE70B2" w:rsidRDefault="003278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70B2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Pr="00BE70B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E70B2" w:rsidRPr="00BE70B2">
        <w:rPr>
          <w:rFonts w:ascii="Times New Roman" w:hAnsi="Times New Roman" w:cs="Times New Roman"/>
          <w:bCs/>
          <w:sz w:val="24"/>
          <w:szCs w:val="24"/>
        </w:rPr>
        <w:t>В работе описан</w:t>
      </w:r>
      <w:r w:rsidR="00A90102" w:rsidRPr="00BE70B2">
        <w:rPr>
          <w:rFonts w:ascii="Times New Roman" w:hAnsi="Times New Roman" w:cs="Times New Roman"/>
          <w:bCs/>
          <w:sz w:val="24"/>
          <w:szCs w:val="24"/>
        </w:rPr>
        <w:t>а структура питания жителей г. Перми</w:t>
      </w:r>
      <w:r w:rsidR="00BE70B2" w:rsidRPr="00BE70B2">
        <w:rPr>
          <w:rFonts w:ascii="Times New Roman" w:hAnsi="Times New Roman" w:cs="Times New Roman"/>
          <w:bCs/>
          <w:sz w:val="24"/>
          <w:szCs w:val="24"/>
        </w:rPr>
        <w:t xml:space="preserve"> в контексте продовольственного благополучия.</w:t>
      </w:r>
      <w:r w:rsidR="00A90102" w:rsidRPr="00BE70B2">
        <w:rPr>
          <w:rFonts w:ascii="Times New Roman" w:hAnsi="Times New Roman" w:cs="Times New Roman"/>
          <w:bCs/>
          <w:sz w:val="24"/>
          <w:szCs w:val="24"/>
        </w:rPr>
        <w:t xml:space="preserve"> Выявлены особенности потребления различных продуктов</w:t>
      </w:r>
      <w:r w:rsidR="00BE70B2" w:rsidRPr="00BE70B2">
        <w:rPr>
          <w:rFonts w:ascii="Times New Roman" w:hAnsi="Times New Roman" w:cs="Times New Roman"/>
          <w:bCs/>
          <w:sz w:val="24"/>
          <w:szCs w:val="24"/>
        </w:rPr>
        <w:t>ых категорий</w:t>
      </w:r>
      <w:r w:rsidR="00A90102" w:rsidRPr="00BE70B2">
        <w:rPr>
          <w:rFonts w:ascii="Times New Roman" w:hAnsi="Times New Roman" w:cs="Times New Roman"/>
          <w:bCs/>
          <w:sz w:val="24"/>
          <w:szCs w:val="24"/>
        </w:rPr>
        <w:t xml:space="preserve">, гендерные и возрастные различия. Оценена удовлетворенность качеством и безопасностью </w:t>
      </w:r>
      <w:r w:rsidR="00BE70B2" w:rsidRPr="00BE70B2">
        <w:rPr>
          <w:rFonts w:ascii="Times New Roman" w:hAnsi="Times New Roman" w:cs="Times New Roman"/>
          <w:bCs/>
          <w:sz w:val="24"/>
          <w:szCs w:val="24"/>
        </w:rPr>
        <w:t xml:space="preserve">приобретаемой </w:t>
      </w:r>
      <w:r w:rsidR="00A90102" w:rsidRPr="00BE70B2">
        <w:rPr>
          <w:rFonts w:ascii="Times New Roman" w:hAnsi="Times New Roman" w:cs="Times New Roman"/>
          <w:bCs/>
          <w:sz w:val="24"/>
          <w:szCs w:val="24"/>
        </w:rPr>
        <w:t>продукции.</w:t>
      </w:r>
    </w:p>
    <w:p w14:paraId="0BDE29EE" w14:textId="350A5985" w:rsidR="00E80063" w:rsidRPr="0056327A" w:rsidRDefault="0032781D" w:rsidP="0056327A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6327A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Pr="0056327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6327A" w:rsidRPr="0056327A">
        <w:rPr>
          <w:rFonts w:ascii="Times New Roman" w:hAnsi="Times New Roman" w:cs="Times New Roman"/>
          <w:bCs/>
          <w:sz w:val="24"/>
          <w:szCs w:val="24"/>
        </w:rPr>
        <w:t>п</w:t>
      </w:r>
      <w:r w:rsidR="0056327A" w:rsidRPr="0056327A">
        <w:rPr>
          <w:rFonts w:ascii="Times New Roman" w:hAnsi="Times New Roman" w:cs="Times New Roman"/>
          <w:bCs/>
          <w:sz w:val="24"/>
          <w:szCs w:val="24"/>
        </w:rPr>
        <w:t>родовольственное благополучие</w:t>
      </w:r>
      <w:r w:rsidR="0056327A" w:rsidRPr="0056327A">
        <w:rPr>
          <w:rFonts w:ascii="Times New Roman" w:hAnsi="Times New Roman" w:cs="Times New Roman"/>
          <w:bCs/>
          <w:sz w:val="24"/>
          <w:szCs w:val="24"/>
        </w:rPr>
        <w:t>, с</w:t>
      </w:r>
      <w:r w:rsidR="0056327A" w:rsidRPr="0056327A">
        <w:rPr>
          <w:rFonts w:ascii="Times New Roman" w:hAnsi="Times New Roman" w:cs="Times New Roman"/>
          <w:bCs/>
          <w:sz w:val="24"/>
          <w:szCs w:val="24"/>
        </w:rPr>
        <w:t>труктура питания</w:t>
      </w:r>
      <w:r w:rsidR="0056327A" w:rsidRPr="0056327A">
        <w:rPr>
          <w:rFonts w:ascii="Times New Roman" w:hAnsi="Times New Roman" w:cs="Times New Roman"/>
          <w:bCs/>
          <w:sz w:val="24"/>
          <w:szCs w:val="24"/>
        </w:rPr>
        <w:t>, к</w:t>
      </w:r>
      <w:r w:rsidR="0056327A" w:rsidRPr="0056327A">
        <w:rPr>
          <w:rFonts w:ascii="Times New Roman" w:hAnsi="Times New Roman" w:cs="Times New Roman"/>
          <w:bCs/>
          <w:sz w:val="24"/>
          <w:szCs w:val="24"/>
        </w:rPr>
        <w:t>ачество пищевой продукции</w:t>
      </w:r>
      <w:r w:rsidR="0056327A" w:rsidRPr="0056327A">
        <w:rPr>
          <w:rFonts w:ascii="Times New Roman" w:hAnsi="Times New Roman" w:cs="Times New Roman"/>
          <w:bCs/>
          <w:sz w:val="24"/>
          <w:szCs w:val="24"/>
        </w:rPr>
        <w:t>, б</w:t>
      </w:r>
      <w:r w:rsidR="0056327A" w:rsidRPr="0056327A">
        <w:rPr>
          <w:rFonts w:ascii="Times New Roman" w:hAnsi="Times New Roman" w:cs="Times New Roman"/>
          <w:bCs/>
          <w:sz w:val="24"/>
          <w:szCs w:val="24"/>
        </w:rPr>
        <w:t>езопасность пищевой продукции</w:t>
      </w:r>
      <w:r w:rsidR="0064546F" w:rsidRPr="0056327A">
        <w:rPr>
          <w:rFonts w:ascii="Times New Roman" w:hAnsi="Times New Roman" w:cs="Times New Roman"/>
          <w:bCs/>
          <w:sz w:val="24"/>
          <w:szCs w:val="24"/>
        </w:rPr>
        <w:t>, потребительское восприятие</w:t>
      </w:r>
      <w:r w:rsidRPr="0056327A">
        <w:rPr>
          <w:rFonts w:ascii="Times New Roman" w:hAnsi="Times New Roman" w:cs="Times New Roman"/>
          <w:bCs/>
          <w:sz w:val="24"/>
          <w:szCs w:val="24"/>
        </w:rPr>
        <w:t>.</w:t>
      </w:r>
    </w:p>
    <w:bookmarkEnd w:id="0"/>
    <w:p w14:paraId="64FB4675" w14:textId="77777777" w:rsidR="00E80063" w:rsidRPr="0056327A" w:rsidRDefault="00E80063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14:paraId="16CADCC9" w14:textId="5B3796E8" w:rsidR="00CA4EDE" w:rsidRPr="00CA4EDE" w:rsidRDefault="00CA4EDE" w:rsidP="00CA4E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6327A">
        <w:rPr>
          <w:rFonts w:ascii="Times New Roman" w:hAnsi="Times New Roman" w:cs="Times New Roman"/>
          <w:sz w:val="24"/>
          <w:szCs w:val="24"/>
        </w:rPr>
        <w:t xml:space="preserve">В условиях динамично развивающихся социально-экономических реалий обеспечение продовольственного благополучия населения, особенно в крупных городских центрах, приобретает первостепенное значение. Продовольственное благополучие, как комплексная характеристика, охватывает </w:t>
      </w:r>
      <w:r w:rsidRPr="00325ACF">
        <w:rPr>
          <w:rFonts w:ascii="Times New Roman" w:hAnsi="Times New Roman" w:cs="Times New Roman"/>
          <w:sz w:val="24"/>
          <w:szCs w:val="24"/>
        </w:rPr>
        <w:t xml:space="preserve">не только физическую и экономическую доступность продуктов питания, но и их качество, безопасность и соответствие потребностям населения в здоровом </w:t>
      </w:r>
      <w:r w:rsidRPr="0052767B">
        <w:rPr>
          <w:rFonts w:ascii="Times New Roman" w:hAnsi="Times New Roman" w:cs="Times New Roman"/>
          <w:sz w:val="24"/>
          <w:szCs w:val="24"/>
        </w:rPr>
        <w:t>питании [</w:t>
      </w:r>
      <w:r w:rsidR="00817D6A">
        <w:rPr>
          <w:rFonts w:ascii="Times New Roman" w:hAnsi="Times New Roman" w:cs="Times New Roman"/>
          <w:sz w:val="24"/>
          <w:szCs w:val="24"/>
        </w:rPr>
        <w:t>2</w:t>
      </w:r>
      <w:r w:rsidR="007D3F0F" w:rsidRPr="0052767B">
        <w:rPr>
          <w:rFonts w:ascii="Times New Roman" w:hAnsi="Times New Roman" w:cs="Times New Roman"/>
          <w:sz w:val="24"/>
          <w:szCs w:val="24"/>
        </w:rPr>
        <w:t xml:space="preserve">, </w:t>
      </w:r>
      <w:r w:rsidR="0052767B" w:rsidRPr="0052767B">
        <w:rPr>
          <w:rFonts w:ascii="Times New Roman" w:hAnsi="Times New Roman" w:cs="Times New Roman"/>
          <w:sz w:val="24"/>
          <w:szCs w:val="24"/>
        </w:rPr>
        <w:t xml:space="preserve">с. </w:t>
      </w:r>
      <w:r w:rsidR="007D3F0F" w:rsidRPr="0052767B">
        <w:rPr>
          <w:rFonts w:ascii="Times New Roman" w:hAnsi="Times New Roman" w:cs="Times New Roman"/>
          <w:sz w:val="24"/>
          <w:szCs w:val="24"/>
        </w:rPr>
        <w:t>112</w:t>
      </w:r>
      <w:r w:rsidRPr="0052767B">
        <w:rPr>
          <w:rFonts w:ascii="Times New Roman" w:hAnsi="Times New Roman" w:cs="Times New Roman"/>
          <w:sz w:val="24"/>
          <w:szCs w:val="24"/>
        </w:rPr>
        <w:t>].</w:t>
      </w:r>
      <w:r w:rsidRPr="00325ACF">
        <w:rPr>
          <w:rFonts w:ascii="Times New Roman" w:hAnsi="Times New Roman" w:cs="Times New Roman"/>
          <w:sz w:val="24"/>
          <w:szCs w:val="24"/>
        </w:rPr>
        <w:t xml:space="preserve"> Особую актуальность</w:t>
      </w:r>
      <w:r w:rsidRPr="00CA4EDE">
        <w:rPr>
          <w:rFonts w:ascii="Times New Roman" w:hAnsi="Times New Roman" w:cs="Times New Roman"/>
          <w:sz w:val="24"/>
          <w:szCs w:val="24"/>
        </w:rPr>
        <w:t xml:space="preserve"> данная проблематика приобретает в контексте здоровьесберегающих стратегий, направленных на повышение качества жизни и увеличение продолжительности активного долголетия.</w:t>
      </w:r>
    </w:p>
    <w:p w14:paraId="7F84BC2B" w14:textId="03098843" w:rsidR="00CA4EDE" w:rsidRPr="00CA4EDE" w:rsidRDefault="00CA4EDE" w:rsidP="00CA4E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A4EDE">
        <w:rPr>
          <w:rFonts w:ascii="Times New Roman" w:hAnsi="Times New Roman" w:cs="Times New Roman"/>
          <w:sz w:val="24"/>
          <w:szCs w:val="24"/>
        </w:rPr>
        <w:t>Нормативно-правовая база Российской Федерации уделяет пристальное внимание вопросам продовольственного благополучия. Доктрина продовольственной безопасности Российской Федерации, являясь основополагающим документом в данной сфере, определяет стратегические цели и задачи государства по обеспечению населения безопасной, качественной и доступной пищевой продукцией</w:t>
      </w:r>
      <w:r w:rsidR="00375073">
        <w:rPr>
          <w:rStyle w:val="afd"/>
          <w:rFonts w:ascii="Times New Roman" w:hAnsi="Times New Roman" w:cs="Times New Roman"/>
          <w:sz w:val="24"/>
          <w:szCs w:val="24"/>
        </w:rPr>
        <w:footnoteReference w:id="1"/>
      </w:r>
      <w:r w:rsidRPr="00CA4EDE">
        <w:rPr>
          <w:rFonts w:ascii="Times New Roman" w:hAnsi="Times New Roman" w:cs="Times New Roman"/>
          <w:sz w:val="24"/>
          <w:szCs w:val="24"/>
        </w:rPr>
        <w:t>. Доктрина акцентирует внимание на необходимость повышения самообеспеченности страны основными видами продовольствия, развития инфраструктуры хранения и переработки сельскохозяйственной продукции, а также на формировании у населения культуры здорового питания. Федеральные законы, технические регламенты и другие нормативные акты устанавливают требования к качеству и безопасности пищевой продукции, а также регламентируют механизмы контроля за их соблюдением.</w:t>
      </w:r>
    </w:p>
    <w:p w14:paraId="36EC0F0E" w14:textId="6FF8FE77" w:rsidR="00CA4EDE" w:rsidRPr="00CA4EDE" w:rsidRDefault="00CA4EDE" w:rsidP="00817D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A4EDE">
        <w:rPr>
          <w:rFonts w:ascii="Times New Roman" w:hAnsi="Times New Roman" w:cs="Times New Roman"/>
          <w:sz w:val="24"/>
          <w:szCs w:val="24"/>
        </w:rPr>
        <w:t>Структура питания населения является одним из ключевых элементов продовольственного благополучия [</w:t>
      </w:r>
      <w:r w:rsidR="00573F36">
        <w:rPr>
          <w:rFonts w:ascii="Times New Roman" w:hAnsi="Times New Roman" w:cs="Times New Roman"/>
          <w:sz w:val="24"/>
          <w:szCs w:val="24"/>
        </w:rPr>
        <w:t>4</w:t>
      </w:r>
      <w:r w:rsidR="00C62077">
        <w:rPr>
          <w:rFonts w:ascii="Times New Roman" w:hAnsi="Times New Roman" w:cs="Times New Roman"/>
          <w:sz w:val="24"/>
          <w:szCs w:val="24"/>
        </w:rPr>
        <w:t>, с. 15</w:t>
      </w:r>
      <w:r w:rsidRPr="00CA4EDE">
        <w:rPr>
          <w:rFonts w:ascii="Times New Roman" w:hAnsi="Times New Roman" w:cs="Times New Roman"/>
          <w:sz w:val="24"/>
          <w:szCs w:val="24"/>
        </w:rPr>
        <w:t>]. Сбалансированный рацион, обеспечивающий организм необходимыми макро- и микроэлементами, витаминами и другими биологически активными веществами, играет определяющую роль в поддержании здоровья и профилактике различных заболеваний. Нерациональное питание, характеризующееся избыточным потреблением жиров, сахара, соли и недостаточным потреблением овощей, фруктов и цельнозерновых продуктов, является фактором риска развития ожирения, сердечно-сосудистых заболеваний, диабета и других хронических неинфекционных заболеваний [</w:t>
      </w:r>
      <w:r w:rsidR="00666E2F">
        <w:rPr>
          <w:rFonts w:ascii="Times New Roman" w:hAnsi="Times New Roman" w:cs="Times New Roman"/>
          <w:sz w:val="24"/>
          <w:szCs w:val="24"/>
        </w:rPr>
        <w:t>1, с. 61</w:t>
      </w:r>
      <w:r w:rsidRPr="00CA4EDE">
        <w:rPr>
          <w:rFonts w:ascii="Times New Roman" w:hAnsi="Times New Roman" w:cs="Times New Roman"/>
          <w:sz w:val="24"/>
          <w:szCs w:val="24"/>
        </w:rPr>
        <w:t>].</w:t>
      </w:r>
      <w:r w:rsidR="00817D6A">
        <w:rPr>
          <w:rFonts w:ascii="Times New Roman" w:hAnsi="Times New Roman" w:cs="Times New Roman"/>
          <w:sz w:val="24"/>
          <w:szCs w:val="24"/>
        </w:rPr>
        <w:t xml:space="preserve"> </w:t>
      </w:r>
      <w:r w:rsidRPr="00CA4EDE">
        <w:rPr>
          <w:rFonts w:ascii="Times New Roman" w:hAnsi="Times New Roman" w:cs="Times New Roman"/>
          <w:sz w:val="24"/>
          <w:szCs w:val="24"/>
        </w:rPr>
        <w:t>В связи с вышеизложенным, оценка структуры питания населения и выявление факторов, влияющих на пищевые предпочтения и выбор продуктов питания, является важной задачей для разработки эффективных мер по улучшению продовольственного благополучия и укреплению здоровья населения.</w:t>
      </w:r>
    </w:p>
    <w:p w14:paraId="190A55AB" w14:textId="77777777" w:rsidR="00EB4A24" w:rsidRPr="007602F7" w:rsidRDefault="00CA4EDE" w:rsidP="007602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A4EDE">
        <w:rPr>
          <w:rFonts w:ascii="Times New Roman" w:hAnsi="Times New Roman" w:cs="Times New Roman"/>
          <w:sz w:val="24"/>
          <w:szCs w:val="24"/>
        </w:rPr>
        <w:t xml:space="preserve">В рамках настоящего исследования предпринята попытка оценить структуру питания жителей г. Перми и их восприятие качества и безопасности пищевой продукции. Исследование проводилось на основе анализа данных опроса, включавшего вопросы о частоте потребления различных категорий продуктов питания, оценке уровня цен на продукты, а </w:t>
      </w:r>
      <w:r w:rsidRPr="00CA4EDE">
        <w:rPr>
          <w:rFonts w:ascii="Times New Roman" w:hAnsi="Times New Roman" w:cs="Times New Roman"/>
          <w:sz w:val="24"/>
          <w:szCs w:val="24"/>
        </w:rPr>
        <w:lastRenderedPageBreak/>
        <w:t>также об удовлетворенности качеством и безопасностью пищевой продукции. Полученные результаты позволяют выявить особенности структуры питания населения г. Перми, оценить доступность и качество продуктов питания.</w:t>
      </w:r>
    </w:p>
    <w:p w14:paraId="45A9653B" w14:textId="0C57E624" w:rsidR="001D2FEB" w:rsidRPr="001D2FEB" w:rsidRDefault="001D2FEB" w:rsidP="00AC21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П</w:t>
      </w:r>
      <w:r w:rsidRPr="001D2FEB">
        <w:rPr>
          <w:rFonts w:ascii="Times New Roman" w:hAnsi="Times New Roman" w:cs="Times New Roman"/>
          <w:sz w:val="24"/>
          <w:szCs w:val="24"/>
          <w:shd w:val="clear" w:color="auto" w:fill="FFFFFF"/>
        </w:rPr>
        <w:t>редставляется целесообразным акцентировать внимание на существующей проблемной ситуации в регионе, связанной с безопасностью и качеством плодоовощной продукции. Согласно данным, предоставленным контролирующими органами, в 2024 г</w:t>
      </w:r>
      <w:r w:rsidR="00691D91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1D2FE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Пермском крае было изъято свыше 34 тонн плодоовощной продукции, не соответствующей установленным требованиям безопасности либо реализуемой с нарушениями маркировки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1D2FEB"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 w:rsidR="00573F36"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  <w:r w:rsidRPr="001D2FEB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что </w:t>
      </w:r>
      <w:r w:rsidRPr="001D2FEB">
        <w:rPr>
          <w:rFonts w:ascii="Times New Roman" w:hAnsi="Times New Roman" w:cs="Times New Roman"/>
          <w:sz w:val="24"/>
          <w:szCs w:val="24"/>
          <w:shd w:val="clear" w:color="auto" w:fill="FFFFFF"/>
        </w:rPr>
        <w:t>свидетельствует о серьезных недостатках в системе контроля качества пищевой продукции, поступ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ающей на потребительский рынок.</w:t>
      </w:r>
      <w:r w:rsidR="00AC21A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1D2FE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Кроме того, в ходе проверок выявлен ряд нарушений, касающихся условий хранения </w:t>
      </w:r>
      <w:r w:rsidR="00691D91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Pr="001D2FE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реализации испорченных товаров.</w:t>
      </w:r>
    </w:p>
    <w:p w14:paraId="0E9D511E" w14:textId="7BBE0F7E" w:rsidR="00B15DF9" w:rsidRPr="007602F7" w:rsidRDefault="00FD3137" w:rsidP="007602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Эмпирической базой </w:t>
      </w:r>
      <w:r w:rsidR="004D643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данного </w:t>
      </w:r>
      <w:r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>исследования выступили результаты формализованного онлайн-опроса населения г. Перм</w:t>
      </w:r>
      <w:r w:rsidR="00DC4F1E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возрасте 18 лет и старше</w:t>
      </w:r>
      <w:r w:rsidR="007602F7"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организованного и проведенного в </w:t>
      </w:r>
      <w:r w:rsidR="00B15DF9"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>период с 6 октября по 6 ноября 2024 г. Сбор данных осуществлялся посредством формализованного онлайн-опроса</w:t>
      </w:r>
      <w:r w:rsid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B15DF9"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Структурированная анкета включала закрытые вопросы, направленные на выявление потребительских предпочтений при выборе мест </w:t>
      </w:r>
      <w:r w:rsidR="00DC4F1E">
        <w:rPr>
          <w:rFonts w:ascii="Times New Roman" w:hAnsi="Times New Roman" w:cs="Times New Roman"/>
          <w:sz w:val="24"/>
          <w:szCs w:val="24"/>
          <w:shd w:val="clear" w:color="auto" w:fill="FFFFFF"/>
        </w:rPr>
        <w:t>приобретения продуктов питания</w:t>
      </w:r>
      <w:r w:rsidR="00B15DF9"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>, степени удовлетворенности продукцией</w:t>
      </w:r>
      <w:r w:rsidR="00DC4F1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оценки текущего уровня цен</w:t>
      </w:r>
      <w:r w:rsidR="00B15DF9"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14:paraId="443DA6B8" w14:textId="77777777" w:rsidR="0027669F" w:rsidRDefault="00B15DF9" w:rsidP="002766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>Для каждой категории продуктов</w:t>
      </w:r>
      <w:r w:rsidR="007602F7"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питания</w:t>
      </w:r>
      <w:r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C4F1E">
        <w:rPr>
          <w:rFonts w:ascii="Times New Roman" w:hAnsi="Times New Roman" w:cs="Times New Roman"/>
          <w:sz w:val="24"/>
          <w:szCs w:val="24"/>
          <w:shd w:val="clear" w:color="auto" w:fill="FFFFFF"/>
        </w:rPr>
        <w:t>(всего 1</w:t>
      </w:r>
      <w:r w:rsidR="00140741"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  <w:r w:rsidR="00DC4F1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 </w:t>
      </w:r>
      <w:r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был </w:t>
      </w:r>
      <w:r w:rsidR="007602F7"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>выделен</w:t>
      </w:r>
      <w:r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отдельный блок вопросов, который пропускался, если респондент не употребляет данную категорию</w:t>
      </w:r>
      <w:r w:rsidR="007602F7"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вопросом-фильтром в этом случае выступал «Сколько раз в неделю Вы едите продукты питания каждой из представленных категорий?». </w:t>
      </w:r>
      <w:r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Оценка надежности шкал проводилась с использованием коэффициента альфа Кронбаха, который составил 0,984, что свидетельствует о высокой внутренней согласованности </w:t>
      </w:r>
      <w:r w:rsidR="00DC4F1E">
        <w:rPr>
          <w:rFonts w:ascii="Times New Roman" w:hAnsi="Times New Roman" w:cs="Times New Roman"/>
          <w:sz w:val="24"/>
          <w:szCs w:val="24"/>
          <w:shd w:val="clear" w:color="auto" w:fill="FFFFFF"/>
        </w:rPr>
        <w:t>исследовательского инструментария</w:t>
      </w:r>
      <w:r w:rsidR="007602F7" w:rsidRPr="007602F7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6F3B0C58" w14:textId="0A7F47EA" w:rsidR="001D2FEB" w:rsidRPr="00BE0F48" w:rsidRDefault="001D2FEB" w:rsidP="004D64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2FEB">
        <w:rPr>
          <w:rFonts w:ascii="Times New Roman" w:hAnsi="Times New Roman" w:cs="Times New Roman"/>
          <w:sz w:val="24"/>
          <w:szCs w:val="24"/>
          <w:shd w:val="clear" w:color="auto" w:fill="FFFFFF"/>
        </w:rPr>
        <w:t>Общий объем выбор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очной совокупности</w:t>
      </w:r>
      <w:r w:rsidRPr="001D2FE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составил 239 респондентов. В гендерной структуре выборки преобладают женщины, составляющие 62,7% от общего числа респондентов. Доля мужчин в выборке составляет 37,3%.</w:t>
      </w:r>
      <w:r w:rsidR="004D643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1D2FEB">
        <w:rPr>
          <w:rFonts w:ascii="Times New Roman" w:hAnsi="Times New Roman" w:cs="Times New Roman"/>
          <w:sz w:val="24"/>
          <w:szCs w:val="24"/>
          <w:shd w:val="clear" w:color="auto" w:fill="FFFFFF"/>
        </w:rPr>
        <w:t>Возрастная структура выборки включает три основные группы: 18-35 лет (31,1%), 36-59 лет (50,3%) и 60 лет и старше (18,6%). Преобладание лиц в возрасте 36-59 лет обеспечивает возможность анализа пищевого поведения и предпочтений наиболее активной части населения.</w:t>
      </w:r>
      <w:r w:rsidR="004D643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E0F48">
        <w:rPr>
          <w:rFonts w:ascii="Times New Roman" w:hAnsi="Times New Roman" w:cs="Times New Roman"/>
          <w:sz w:val="24"/>
          <w:szCs w:val="24"/>
          <w:shd w:val="clear" w:color="auto" w:fill="FFFFFF"/>
        </w:rPr>
        <w:t>Анализ образовательного уровня респондентов выявил значительную представленность лиц со средним профессиональным и высшим образованием. Так, 40% опрошенных имеют среднее профессиональное образование (техникум, колледж), а 37,9% – высшее и послевузовское образование.</w:t>
      </w:r>
    </w:p>
    <w:p w14:paraId="47557E3C" w14:textId="329024AD" w:rsidR="00BE0F48" w:rsidRPr="00BE0F48" w:rsidRDefault="00BE0F48" w:rsidP="00BE0F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E0F4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Важным аспектом анализа структуры питания является оценка частоты потребления различных групп продуктов (табл. 1). Данные, полученные в ходе исследования, позволяют выявить наиболее и наименее часто употребляемые категории, что дает возможность судить о сбалансированности рациона жителей г. Перми. Анализ частоты потребления хлебобулочных изделий выявил, что данная категория продуктов занимает лидирующую позицию в рационе пермяков. Более половины респондентов (53,3%) употребляют хлебобулочные изделия ежедневно. Значительная доля (17,6%) потребляет их 4-6 раз в неделю, а </w:t>
      </w:r>
      <w:r w:rsidR="00D32274">
        <w:rPr>
          <w:rFonts w:ascii="Times New Roman" w:hAnsi="Times New Roman" w:cs="Times New Roman"/>
          <w:sz w:val="24"/>
          <w:szCs w:val="24"/>
          <w:shd w:val="clear" w:color="auto" w:fill="FFFFFF"/>
        </w:rPr>
        <w:t>почти каждый пятый (</w:t>
      </w:r>
      <w:r w:rsidRPr="00BE0F48">
        <w:rPr>
          <w:rFonts w:ascii="Times New Roman" w:hAnsi="Times New Roman" w:cs="Times New Roman"/>
          <w:sz w:val="24"/>
          <w:szCs w:val="24"/>
          <w:shd w:val="clear" w:color="auto" w:fill="FFFFFF"/>
        </w:rPr>
        <w:t>18,3%</w:t>
      </w:r>
      <w:r w:rsidR="00D32274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  <w:r w:rsidRPr="00BE0F4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– 2-3 раза в неделю.</w:t>
      </w:r>
    </w:p>
    <w:p w14:paraId="35D89DC9" w14:textId="77777777" w:rsidR="00BE0F48" w:rsidRPr="00BE0F48" w:rsidRDefault="00BE0F48" w:rsidP="00BE0F48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BE0F48">
        <w:rPr>
          <w:rFonts w:ascii="Times New Roman" w:hAnsi="Times New Roman" w:cs="Times New Roman"/>
          <w:bCs/>
          <w:sz w:val="24"/>
          <w:szCs w:val="24"/>
        </w:rPr>
        <w:t>Таблица</w:t>
      </w:r>
      <w:r w:rsidRPr="00BE0F4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E0F48">
        <w:rPr>
          <w:rFonts w:ascii="Times New Roman" w:hAnsi="Times New Roman" w:cs="Times New Roman"/>
          <w:bCs/>
          <w:sz w:val="24"/>
          <w:szCs w:val="24"/>
        </w:rPr>
        <w:t>1</w:t>
      </w:r>
    </w:p>
    <w:p w14:paraId="522A07A1" w14:textId="77777777" w:rsidR="00BE0F48" w:rsidRPr="00BE0F48" w:rsidRDefault="00BE0F48" w:rsidP="00BE0F4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0F48">
        <w:rPr>
          <w:rFonts w:ascii="Times New Roman" w:hAnsi="Times New Roman" w:cs="Times New Roman"/>
          <w:sz w:val="24"/>
          <w:szCs w:val="24"/>
        </w:rPr>
        <w:t>Частота потребления различных категорий продуктов питания жителями г. Перми</w:t>
      </w:r>
    </w:p>
    <w:p w14:paraId="31737CA3" w14:textId="77777777" w:rsidR="00BE0F48" w:rsidRPr="00BE0F48" w:rsidRDefault="00BE0F48" w:rsidP="00BE0F4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E0F48">
        <w:rPr>
          <w:rFonts w:ascii="Times New Roman" w:hAnsi="Times New Roman" w:cs="Times New Roman"/>
          <w:sz w:val="24"/>
          <w:szCs w:val="24"/>
        </w:rPr>
        <w:t>(% опрошенных)</w:t>
      </w:r>
      <w:r w:rsidRPr="00BE0F4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pPr w:leftFromText="180" w:rightFromText="180" w:vertAnchor="text" w:horzAnchor="margin" w:tblpXSpec="center" w:tblpY="69"/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588"/>
        <w:gridCol w:w="589"/>
        <w:gridCol w:w="589"/>
        <w:gridCol w:w="589"/>
        <w:gridCol w:w="589"/>
        <w:gridCol w:w="589"/>
        <w:gridCol w:w="588"/>
        <w:gridCol w:w="589"/>
        <w:gridCol w:w="589"/>
        <w:gridCol w:w="589"/>
        <w:gridCol w:w="589"/>
        <w:gridCol w:w="589"/>
        <w:gridCol w:w="589"/>
      </w:tblGrid>
      <w:tr w:rsidR="00BE0F48" w:rsidRPr="00BE0F48" w14:paraId="6D3FB2D8" w14:textId="77777777" w:rsidTr="008B7C1D">
        <w:trPr>
          <w:cantSplit/>
          <w:trHeight w:val="1134"/>
        </w:trPr>
        <w:tc>
          <w:tcPr>
            <w:tcW w:w="1838" w:type="dxa"/>
            <w:shd w:val="clear" w:color="auto" w:fill="auto"/>
            <w:vAlign w:val="center"/>
            <w:hideMark/>
          </w:tcPr>
          <w:p w14:paraId="36814831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88" w:type="dxa"/>
            <w:shd w:val="clear" w:color="auto" w:fill="auto"/>
            <w:textDirection w:val="btLr"/>
            <w:vAlign w:val="center"/>
            <w:hideMark/>
          </w:tcPr>
          <w:p w14:paraId="18BB4483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Фрукты</w:t>
            </w:r>
          </w:p>
        </w:tc>
        <w:tc>
          <w:tcPr>
            <w:tcW w:w="589" w:type="dxa"/>
            <w:shd w:val="clear" w:color="auto" w:fill="auto"/>
            <w:textDirection w:val="btLr"/>
            <w:vAlign w:val="center"/>
            <w:hideMark/>
          </w:tcPr>
          <w:p w14:paraId="63401EB8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Овощи</w:t>
            </w:r>
          </w:p>
        </w:tc>
        <w:tc>
          <w:tcPr>
            <w:tcW w:w="589" w:type="dxa"/>
            <w:shd w:val="clear" w:color="auto" w:fill="auto"/>
            <w:textDirection w:val="btLr"/>
            <w:vAlign w:val="center"/>
            <w:hideMark/>
          </w:tcPr>
          <w:p w14:paraId="2DE75D79" w14:textId="77777777" w:rsid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Хлебобул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</w:t>
            </w:r>
          </w:p>
          <w:p w14:paraId="1FF9C2A0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изделия</w:t>
            </w:r>
          </w:p>
        </w:tc>
        <w:tc>
          <w:tcPr>
            <w:tcW w:w="589" w:type="dxa"/>
            <w:shd w:val="clear" w:color="auto" w:fill="auto"/>
            <w:textDirection w:val="btLr"/>
            <w:vAlign w:val="center"/>
            <w:hideMark/>
          </w:tcPr>
          <w:p w14:paraId="4BAC3B88" w14:textId="77777777" w:rsid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Кондитер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</w:t>
            </w:r>
          </w:p>
          <w:p w14:paraId="2974AE38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изделия</w:t>
            </w:r>
          </w:p>
        </w:tc>
        <w:tc>
          <w:tcPr>
            <w:tcW w:w="589" w:type="dxa"/>
            <w:shd w:val="clear" w:color="auto" w:fill="auto"/>
            <w:textDirection w:val="btLr"/>
            <w:vAlign w:val="center"/>
            <w:hideMark/>
          </w:tcPr>
          <w:p w14:paraId="7C4C5DB3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Мясо</w:t>
            </w:r>
          </w:p>
        </w:tc>
        <w:tc>
          <w:tcPr>
            <w:tcW w:w="589" w:type="dxa"/>
            <w:shd w:val="clear" w:color="auto" w:fill="auto"/>
            <w:textDirection w:val="btLr"/>
            <w:vAlign w:val="center"/>
            <w:hideMark/>
          </w:tcPr>
          <w:p w14:paraId="18B3A78C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Мясные изделия</w:t>
            </w:r>
          </w:p>
        </w:tc>
        <w:tc>
          <w:tcPr>
            <w:tcW w:w="588" w:type="dxa"/>
            <w:shd w:val="clear" w:color="auto" w:fill="auto"/>
            <w:textDirection w:val="btLr"/>
            <w:vAlign w:val="center"/>
            <w:hideMark/>
          </w:tcPr>
          <w:p w14:paraId="3F2F61BA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Птица</w:t>
            </w:r>
          </w:p>
        </w:tc>
        <w:tc>
          <w:tcPr>
            <w:tcW w:w="589" w:type="dxa"/>
            <w:shd w:val="clear" w:color="auto" w:fill="auto"/>
            <w:textDirection w:val="btLr"/>
            <w:vAlign w:val="center"/>
            <w:hideMark/>
          </w:tcPr>
          <w:p w14:paraId="17C4FB6F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Яйца</w:t>
            </w:r>
          </w:p>
        </w:tc>
        <w:tc>
          <w:tcPr>
            <w:tcW w:w="589" w:type="dxa"/>
            <w:shd w:val="clear" w:color="auto" w:fill="auto"/>
            <w:textDirection w:val="btLr"/>
            <w:vAlign w:val="center"/>
            <w:hideMark/>
          </w:tcPr>
          <w:p w14:paraId="7AEE8326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Молоко</w:t>
            </w:r>
          </w:p>
        </w:tc>
        <w:tc>
          <w:tcPr>
            <w:tcW w:w="589" w:type="dxa"/>
            <w:shd w:val="clear" w:color="auto" w:fill="auto"/>
            <w:textDirection w:val="btLr"/>
            <w:vAlign w:val="center"/>
            <w:hideMark/>
          </w:tcPr>
          <w:p w14:paraId="2B2A40FE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Молочные продукты</w:t>
            </w:r>
          </w:p>
        </w:tc>
        <w:tc>
          <w:tcPr>
            <w:tcW w:w="589" w:type="dxa"/>
            <w:shd w:val="clear" w:color="auto" w:fill="auto"/>
            <w:textDirection w:val="btLr"/>
            <w:vAlign w:val="center"/>
            <w:hideMark/>
          </w:tcPr>
          <w:p w14:paraId="0F0C113D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Крупы</w:t>
            </w:r>
          </w:p>
        </w:tc>
        <w:tc>
          <w:tcPr>
            <w:tcW w:w="589" w:type="dxa"/>
            <w:shd w:val="clear" w:color="auto" w:fill="auto"/>
            <w:textDirection w:val="btLr"/>
            <w:vAlign w:val="center"/>
            <w:hideMark/>
          </w:tcPr>
          <w:p w14:paraId="5CFE1724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Алк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напитки</w:t>
            </w:r>
          </w:p>
        </w:tc>
        <w:tc>
          <w:tcPr>
            <w:tcW w:w="589" w:type="dxa"/>
            <w:shd w:val="clear" w:color="auto" w:fill="auto"/>
            <w:textDirection w:val="btLr"/>
            <w:vAlign w:val="center"/>
            <w:hideMark/>
          </w:tcPr>
          <w:p w14:paraId="1ACAB2F2" w14:textId="77777777" w:rsidR="00BE0F48" w:rsidRPr="00BE0F48" w:rsidRDefault="00BE0F48" w:rsidP="00BE0F48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Безалк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напитки</w:t>
            </w:r>
          </w:p>
        </w:tc>
      </w:tr>
      <w:tr w:rsidR="00BE0F48" w:rsidRPr="00BE0F48" w14:paraId="75DF9A5A" w14:textId="77777777" w:rsidTr="008B7C1D">
        <w:trPr>
          <w:trHeight w:val="414"/>
        </w:trPr>
        <w:tc>
          <w:tcPr>
            <w:tcW w:w="1838" w:type="dxa"/>
            <w:shd w:val="clear" w:color="auto" w:fill="auto"/>
            <w:vAlign w:val="center"/>
            <w:hideMark/>
          </w:tcPr>
          <w:p w14:paraId="3FBD0CDE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Каждый день</w:t>
            </w:r>
          </w:p>
        </w:tc>
        <w:tc>
          <w:tcPr>
            <w:tcW w:w="588" w:type="dxa"/>
            <w:shd w:val="clear" w:color="auto" w:fill="auto"/>
            <w:vAlign w:val="center"/>
            <w:hideMark/>
          </w:tcPr>
          <w:p w14:paraId="52A378FD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21,1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646561AB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34,3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2060BC35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53,3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3A2103FD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26,4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1FA2C65F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35,6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2A0EC99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24,3</w:t>
            </w:r>
          </w:p>
        </w:tc>
        <w:tc>
          <w:tcPr>
            <w:tcW w:w="588" w:type="dxa"/>
            <w:shd w:val="clear" w:color="auto" w:fill="auto"/>
            <w:vAlign w:val="center"/>
            <w:hideMark/>
          </w:tcPr>
          <w:p w14:paraId="32A18B5D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18,4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7A6C4A32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17,4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27675115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28,7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19E6247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21,1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742D1ADA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20,6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016C0DF7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29607E72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18,4</w:t>
            </w:r>
          </w:p>
        </w:tc>
      </w:tr>
      <w:tr w:rsidR="00BE0F48" w:rsidRPr="00BE0F48" w14:paraId="05DCA3B4" w14:textId="77777777" w:rsidTr="008B7C1D">
        <w:trPr>
          <w:trHeight w:val="414"/>
        </w:trPr>
        <w:tc>
          <w:tcPr>
            <w:tcW w:w="1838" w:type="dxa"/>
            <w:shd w:val="clear" w:color="auto" w:fill="auto"/>
            <w:vAlign w:val="center"/>
            <w:hideMark/>
          </w:tcPr>
          <w:p w14:paraId="1E316A38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Через день и чаще (4-6 раз в неделю)</w:t>
            </w:r>
          </w:p>
        </w:tc>
        <w:tc>
          <w:tcPr>
            <w:tcW w:w="588" w:type="dxa"/>
            <w:shd w:val="clear" w:color="auto" w:fill="auto"/>
            <w:vAlign w:val="center"/>
            <w:hideMark/>
          </w:tcPr>
          <w:p w14:paraId="68C4976B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28,6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58F1E319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30,2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52A22041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17,6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30BC4637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24,0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1DE7556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22,5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0E48376A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23,0</w:t>
            </w:r>
          </w:p>
        </w:tc>
        <w:tc>
          <w:tcPr>
            <w:tcW w:w="588" w:type="dxa"/>
            <w:shd w:val="clear" w:color="auto" w:fill="auto"/>
            <w:vAlign w:val="center"/>
            <w:hideMark/>
          </w:tcPr>
          <w:p w14:paraId="0382A8D1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29,6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692FC18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15,8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0FDDF7F8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14,9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517E9100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18,5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7F8D97C5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26,7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76045A8C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1,4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2012A1F9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9,0</w:t>
            </w:r>
          </w:p>
        </w:tc>
      </w:tr>
      <w:tr w:rsidR="00BE0F48" w:rsidRPr="00BE0F48" w14:paraId="6D4CA300" w14:textId="77777777" w:rsidTr="008B7C1D">
        <w:trPr>
          <w:trHeight w:val="414"/>
        </w:trPr>
        <w:tc>
          <w:tcPr>
            <w:tcW w:w="1838" w:type="dxa"/>
            <w:shd w:val="clear" w:color="auto" w:fill="auto"/>
            <w:vAlign w:val="center"/>
            <w:hideMark/>
          </w:tcPr>
          <w:p w14:paraId="7C80E67C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lastRenderedPageBreak/>
              <w:t>Несколько раз (2-3 раза) в неделю</w:t>
            </w:r>
          </w:p>
        </w:tc>
        <w:tc>
          <w:tcPr>
            <w:tcW w:w="588" w:type="dxa"/>
            <w:shd w:val="clear" w:color="auto" w:fill="auto"/>
            <w:vAlign w:val="center"/>
            <w:hideMark/>
          </w:tcPr>
          <w:p w14:paraId="781728CA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25,5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2B84D66E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20,1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2222F5FB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18,3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3243649E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21,0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5E77D158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20,8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35A715E7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29,8</w:t>
            </w:r>
          </w:p>
        </w:tc>
        <w:tc>
          <w:tcPr>
            <w:tcW w:w="588" w:type="dxa"/>
            <w:shd w:val="clear" w:color="auto" w:fill="auto"/>
            <w:vAlign w:val="center"/>
            <w:hideMark/>
          </w:tcPr>
          <w:p w14:paraId="66001F33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25,1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2DB9D107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34,0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C94C9CA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18,7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030E38D5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29,6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53A6ECD0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26,3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5D7D290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8,2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03B5B77B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17,8</w:t>
            </w:r>
          </w:p>
        </w:tc>
      </w:tr>
      <w:tr w:rsidR="00BE0F48" w:rsidRPr="00BE0F48" w14:paraId="22BCDE95" w14:textId="77777777" w:rsidTr="008B7C1D">
        <w:trPr>
          <w:trHeight w:val="414"/>
        </w:trPr>
        <w:tc>
          <w:tcPr>
            <w:tcW w:w="1838" w:type="dxa"/>
            <w:shd w:val="clear" w:color="auto" w:fill="auto"/>
            <w:vAlign w:val="center"/>
            <w:hideMark/>
          </w:tcPr>
          <w:p w14:paraId="3016357B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 раз в неделю</w:t>
            </w:r>
          </w:p>
        </w:tc>
        <w:tc>
          <w:tcPr>
            <w:tcW w:w="588" w:type="dxa"/>
            <w:shd w:val="clear" w:color="auto" w:fill="auto"/>
            <w:vAlign w:val="center"/>
            <w:hideMark/>
          </w:tcPr>
          <w:p w14:paraId="5F0E7A89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12,0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97FC537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9,1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5BDBAF4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1,3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1AB9F2AB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11,2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6A9F3D4B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11,1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79FF68C5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8,0</w:t>
            </w:r>
          </w:p>
        </w:tc>
        <w:tc>
          <w:tcPr>
            <w:tcW w:w="588" w:type="dxa"/>
            <w:shd w:val="clear" w:color="auto" w:fill="auto"/>
            <w:vAlign w:val="center"/>
            <w:hideMark/>
          </w:tcPr>
          <w:p w14:paraId="56633770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9,5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3752B6DA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15,4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7B3DAA00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8,3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07AFB5EB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12,6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7AE2ABD8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14,6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64E77581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14,7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1E93AF68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17,0</w:t>
            </w:r>
          </w:p>
        </w:tc>
      </w:tr>
      <w:tr w:rsidR="00D32274" w:rsidRPr="00D32274" w14:paraId="5F7F65FF" w14:textId="77777777" w:rsidTr="008B7C1D">
        <w:trPr>
          <w:trHeight w:val="414"/>
        </w:trPr>
        <w:tc>
          <w:tcPr>
            <w:tcW w:w="1838" w:type="dxa"/>
            <w:shd w:val="clear" w:color="auto" w:fill="auto"/>
            <w:vAlign w:val="center"/>
            <w:hideMark/>
          </w:tcPr>
          <w:p w14:paraId="42B3BDA4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Реже 1 раза в неделю</w:t>
            </w:r>
          </w:p>
        </w:tc>
        <w:tc>
          <w:tcPr>
            <w:tcW w:w="588" w:type="dxa"/>
            <w:shd w:val="clear" w:color="auto" w:fill="auto"/>
            <w:vAlign w:val="center"/>
            <w:hideMark/>
          </w:tcPr>
          <w:p w14:paraId="047F094F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8,7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1894CF2D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2,9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1FDCC306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2,4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73327034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8,3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71076F7A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4,9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54C8D70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8,8</w:t>
            </w:r>
          </w:p>
        </w:tc>
        <w:tc>
          <w:tcPr>
            <w:tcW w:w="588" w:type="dxa"/>
            <w:shd w:val="clear" w:color="auto" w:fill="auto"/>
            <w:vAlign w:val="center"/>
            <w:hideMark/>
          </w:tcPr>
          <w:p w14:paraId="24DACDBE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9,5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7913B382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12,5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03DA78FE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12,4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6F605800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9,1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5E1CECE3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7,3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16B8A818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38,0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5155C36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16,7</w:t>
            </w:r>
          </w:p>
        </w:tc>
      </w:tr>
      <w:tr w:rsidR="00D32274" w:rsidRPr="00D32274" w14:paraId="3682ACD4" w14:textId="77777777" w:rsidTr="008B7C1D">
        <w:trPr>
          <w:trHeight w:val="414"/>
        </w:trPr>
        <w:tc>
          <w:tcPr>
            <w:tcW w:w="1838" w:type="dxa"/>
            <w:shd w:val="clear" w:color="auto" w:fill="auto"/>
            <w:vAlign w:val="center"/>
            <w:hideMark/>
          </w:tcPr>
          <w:p w14:paraId="3578D46F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Вообще не ем</w:t>
            </w:r>
          </w:p>
        </w:tc>
        <w:tc>
          <w:tcPr>
            <w:tcW w:w="588" w:type="dxa"/>
            <w:shd w:val="clear" w:color="auto" w:fill="auto"/>
            <w:vAlign w:val="center"/>
            <w:hideMark/>
          </w:tcPr>
          <w:p w14:paraId="777A7645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4,2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30182E01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3,4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2AA9966F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7,1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6FCF166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70C59E0F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5,1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684D94A4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6,0</w:t>
            </w:r>
          </w:p>
        </w:tc>
        <w:tc>
          <w:tcPr>
            <w:tcW w:w="588" w:type="dxa"/>
            <w:shd w:val="clear" w:color="auto" w:fill="auto"/>
            <w:vAlign w:val="center"/>
            <w:hideMark/>
          </w:tcPr>
          <w:p w14:paraId="034C46B3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7,9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204102D1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4,9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7915D1D5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17,0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551FDB47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9,1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22C1938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4,5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30D05ECC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36,6</w:t>
            </w:r>
          </w:p>
        </w:tc>
        <w:tc>
          <w:tcPr>
            <w:tcW w:w="589" w:type="dxa"/>
            <w:shd w:val="clear" w:color="auto" w:fill="auto"/>
            <w:vAlign w:val="center"/>
            <w:hideMark/>
          </w:tcPr>
          <w:p w14:paraId="44D18FB3" w14:textId="77777777" w:rsidR="00BE0F48" w:rsidRPr="00BE0F48" w:rsidRDefault="00BE0F48" w:rsidP="00BE0F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0F4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21,0</w:t>
            </w:r>
          </w:p>
        </w:tc>
      </w:tr>
      <w:tr w:rsidR="008B7C1D" w:rsidRPr="00D32274" w14:paraId="4605F1B1" w14:textId="77777777" w:rsidTr="008B7C1D">
        <w:trPr>
          <w:trHeight w:val="20"/>
        </w:trPr>
        <w:tc>
          <w:tcPr>
            <w:tcW w:w="9493" w:type="dxa"/>
            <w:gridSpan w:val="14"/>
            <w:shd w:val="clear" w:color="auto" w:fill="auto"/>
            <w:vAlign w:val="center"/>
          </w:tcPr>
          <w:p w14:paraId="5C806DED" w14:textId="7BF31CBB" w:rsidR="008B7C1D" w:rsidRPr="00BE0F48" w:rsidRDefault="008B7C1D" w:rsidP="008B7C1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Источник: составлено автором на основании полученных в ходе исследования результатов.</w:t>
            </w:r>
          </w:p>
        </w:tc>
      </w:tr>
    </w:tbl>
    <w:p w14:paraId="4E2D22F2" w14:textId="77777777" w:rsidR="00BE0F48" w:rsidRPr="00D32274" w:rsidRDefault="00BE0F48" w:rsidP="00BE0F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35B03458" w14:textId="3DAA8271" w:rsidR="00BE0F48" w:rsidRPr="00626FD8" w:rsidRDefault="00BE0F48" w:rsidP="00E346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322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Похожая тенденция наблюдается и в отношении потребления мяса. Ежедневно мясо употребляют 35,6% </w:t>
      </w:r>
      <w:r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респондентов, 22,5% – 4-6 раз в неделю, а 20,8% – 2-3 раза в неделю. Доля респондентов, не употребляющих мясо совсем, составляет 5,1%.</w:t>
      </w:r>
      <w:r w:rsidR="00D32274"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Мясные изделия употребляет ежедневно четверть опрошенных (24,3% респондентов), а 23% – 4-6 раз в неделю, и 29,8% - 2-3 раза в неделю.</w:t>
      </w:r>
      <w:r w:rsidR="00E3468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Овощи также занимают важное место в рационе жителей города. Ежедневное потребление овощей отметили 34,3% респондентов, а 30,2% употребляют их 4-6 раз в неделю. Потребление фруктов несколько ниже. Ежедневно фрукты употребляют 21,1% респондентов, а 28,6% – 4-6 раз в неделю.</w:t>
      </w:r>
      <w:r w:rsidR="00E3468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Анализ потребления молочных продуктов показал, что молоко ежедневно употребляют 28,7% респондентов, а 14,9% – 4-6 раз в неделю. Значительная часть опрошенных (18,7%) употребляет молоко 2-3 раза в неделю. Молочные продукты употребля</w:t>
      </w:r>
      <w:r w:rsidR="00E34681">
        <w:rPr>
          <w:rFonts w:ascii="Times New Roman" w:hAnsi="Times New Roman" w:cs="Times New Roman"/>
          <w:sz w:val="24"/>
          <w:szCs w:val="24"/>
          <w:shd w:val="clear" w:color="auto" w:fill="FFFFFF"/>
        </w:rPr>
        <w:t>е</w:t>
      </w:r>
      <w:r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 ежедневно </w:t>
      </w:r>
      <w:r w:rsidR="00E34681">
        <w:rPr>
          <w:rFonts w:ascii="Times New Roman" w:hAnsi="Times New Roman" w:cs="Times New Roman"/>
          <w:sz w:val="24"/>
          <w:szCs w:val="24"/>
          <w:shd w:val="clear" w:color="auto" w:fill="FFFFFF"/>
        </w:rPr>
        <w:t>каждый пятый (</w:t>
      </w:r>
      <w:r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21,1% респондентов</w:t>
      </w:r>
      <w:r w:rsidR="00E3468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). </w:t>
      </w:r>
      <w:r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Что касается кондитерских изделий, то ежедневно их употре</w:t>
      </w:r>
      <w:r w:rsidR="009D6F08"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бляют 26,4% респондентов, а 24% – 4-6 раз в неделю. Около 21</w:t>
      </w:r>
      <w:r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% опрошенных употребляют кондитерские изделия 2-3 раза в неделю.</w:t>
      </w:r>
    </w:p>
    <w:p w14:paraId="5A09EA11" w14:textId="290016FB" w:rsidR="005439D7" w:rsidRPr="003154FD" w:rsidRDefault="00BE0F48" w:rsidP="003154F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Потребление алкогольных и безалкогольных напитков демонстрирует значительные различия. Алкогольные напитки ежедневно употребляют лишь 1,1% респондентов, а 1,4% – 4-6 раз в неделю. Большая часть опрошенных употребляет алкогольные на</w:t>
      </w:r>
      <w:r w:rsidR="009D6F08"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питки реже 1 раза в неделю (38</w:t>
      </w:r>
      <w:r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%) или не употребляет их совсем (36,6%). Безалкогольные напитки ежедневно употр</w:t>
      </w:r>
      <w:r w:rsidR="009D6F08"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ебляют 18,4% респондентов, а 9</w:t>
      </w:r>
      <w:r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% – 4-6 раз в неделю. Значительная часть опрошенных употребляет безалкогольные напитки 2-3 раза в неде</w:t>
      </w:r>
      <w:r w:rsidR="009D6F08"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лю (17,8%), 1 раз в неделю (17</w:t>
      </w:r>
      <w:r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%) или реже 1 раза в </w:t>
      </w:r>
      <w:r w:rsidRPr="003154FD">
        <w:rPr>
          <w:rFonts w:ascii="Times New Roman" w:hAnsi="Times New Roman" w:cs="Times New Roman"/>
          <w:sz w:val="24"/>
          <w:szCs w:val="24"/>
          <w:shd w:val="clear" w:color="auto" w:fill="FFFFFF"/>
        </w:rPr>
        <w:t>неделю (16,7%). Доля респондентов, не употребляющих безалкогольные</w:t>
      </w:r>
      <w:r w:rsidR="00D32274" w:rsidRPr="003154F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напитки совсем, составляет 21</w:t>
      </w:r>
      <w:r w:rsidRPr="003154FD">
        <w:rPr>
          <w:rFonts w:ascii="Times New Roman" w:hAnsi="Times New Roman" w:cs="Times New Roman"/>
          <w:sz w:val="24"/>
          <w:szCs w:val="24"/>
          <w:shd w:val="clear" w:color="auto" w:fill="FFFFFF"/>
        </w:rPr>
        <w:t>%.</w:t>
      </w:r>
    </w:p>
    <w:p w14:paraId="6F0F9444" w14:textId="5E07D110" w:rsidR="0064049C" w:rsidRDefault="0064049C" w:rsidP="00E346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154FD">
        <w:rPr>
          <w:rFonts w:ascii="Times New Roman" w:hAnsi="Times New Roman" w:cs="Times New Roman"/>
          <w:sz w:val="24"/>
          <w:szCs w:val="24"/>
          <w:shd w:val="clear" w:color="auto" w:fill="FFFFFF"/>
        </w:rPr>
        <w:t>Анализ структуры питания жителей г. Перми выявил гендерные и возрастные особенности</w:t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выборе пищевых продуктов. В частности, женщины, принявшие участие в исследовании, продемонстрировали большую склонность к потреблению кондитерских изделий</w:t>
      </w:r>
      <w:r>
        <w:rPr>
          <w:rStyle w:val="afd"/>
          <w:rFonts w:ascii="Times New Roman" w:hAnsi="Times New Roman" w:cs="Times New Roman"/>
          <w:sz w:val="24"/>
          <w:szCs w:val="24"/>
          <w:shd w:val="clear" w:color="auto" w:fill="FFFFFF"/>
        </w:rPr>
        <w:footnoteReference w:id="2"/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>. Мужчины, напротив, чаще включа</w:t>
      </w:r>
      <w:r w:rsidR="003154FD">
        <w:rPr>
          <w:rFonts w:ascii="Times New Roman" w:hAnsi="Times New Roman" w:cs="Times New Roman"/>
          <w:sz w:val="24"/>
          <w:szCs w:val="24"/>
          <w:shd w:val="clear" w:color="auto" w:fill="FFFFFF"/>
        </w:rPr>
        <w:t>ют</w:t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свой рацион мясо, птицу и яйца, что свидетельствует о более высоком потреблении белка и</w:t>
      </w:r>
      <w:r w:rsidR="003154F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>большем удовлетворении энергетических потребностей. Помимо этого, мужчины чаще употребляли алкогольные и безалкогольные напитки.</w:t>
      </w:r>
      <w:r w:rsidR="00E3468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>С возрастом наблюдались изменения в структуре питания: респонденты старшего поколения чаще включали в свой рацион фрукты, что может быть связано с осознанным выбором в пользу более здорового питания. При этом потребление безалкогольных напитков среди этой группы было снижено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00FC53E6" w14:textId="4C1C99A3" w:rsidR="0064049C" w:rsidRPr="0064049C" w:rsidRDefault="0064049C" w:rsidP="00E346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Полученные данные демонстрируют определенную сопоставимость с результатами более раннего исследования, проведенного в 2022 г. </w:t>
      </w:r>
      <w:r w:rsidR="00E34681">
        <w:rPr>
          <w:rFonts w:ascii="Times New Roman" w:hAnsi="Times New Roman" w:cs="Times New Roman"/>
          <w:sz w:val="24"/>
          <w:szCs w:val="24"/>
          <w:shd w:val="clear" w:color="auto" w:fill="FFFFFF"/>
        </w:rPr>
        <w:t>В</w:t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34681">
        <w:rPr>
          <w:rFonts w:ascii="Times New Roman" w:hAnsi="Times New Roman" w:cs="Times New Roman"/>
          <w:sz w:val="24"/>
          <w:szCs w:val="24"/>
          <w:shd w:val="clear" w:color="auto" w:fill="FFFFFF"/>
        </w:rPr>
        <w:t>нем</w:t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приняли участие 405 респондентов в возрасте от 18 до 25 лет. Выборка формировалась на основе стихийного отбора.</w:t>
      </w:r>
      <w:r w:rsidR="00E3468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>Результаты показали, что в среднем жители Перми (как мужчины, так и женщины) питаются трижды в день и дважды перекусывают между основными приемами пищи. Однако, было выявлено статистически значимое различие между количеством приемов пищи в день в группах, сформированных по половому признаку. Женщины чаще отмечали, что питаются 1</w:t>
      </w:r>
      <w:r w:rsidR="003154FD" w:rsidRPr="00626FD8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>2 раза в день, тогда как мужчины чаще указывали на четырех</w:t>
      </w:r>
      <w:r w:rsidR="00CD7962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более </w:t>
      </w:r>
      <w:r w:rsidR="00CD796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разовое </w:t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>питание.</w:t>
      </w:r>
    </w:p>
    <w:p w14:paraId="6B2B44C4" w14:textId="3B80F22C" w:rsidR="0064049C" w:rsidRPr="007E39D8" w:rsidRDefault="0064049C" w:rsidP="006404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>Анализ конкретных категорий пищевых продуктов показал, что в среднем жители Перми около 5 раз в неделю употребля</w:t>
      </w:r>
      <w:r w:rsidR="00CD7962">
        <w:rPr>
          <w:rFonts w:ascii="Times New Roman" w:hAnsi="Times New Roman" w:cs="Times New Roman"/>
          <w:sz w:val="24"/>
          <w:szCs w:val="24"/>
          <w:shd w:val="clear" w:color="auto" w:fill="FFFFFF"/>
        </w:rPr>
        <w:t>ли</w:t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хлебобулочные изделия, овощи, мясо и птицу; 4 раза в неделю – фрукты и ягоды, а также молочные продукты; 3 раза в неделю – колбасные изделия, </w:t>
      </w:r>
      <w:r w:rsidRPr="0064049C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кондитерские изделия и крупы; 2 раза в неделю – макароны и макаронные изделия; и всего 1 раз в неделю – рыбу. Низкое потребление рыбы может быть обусловлено географическими особенностями региона и </w:t>
      </w:r>
      <w:r w:rsidRPr="007E39D8">
        <w:rPr>
          <w:rFonts w:ascii="Times New Roman" w:hAnsi="Times New Roman" w:cs="Times New Roman"/>
          <w:sz w:val="24"/>
          <w:szCs w:val="24"/>
          <w:shd w:val="clear" w:color="auto" w:fill="FFFFFF"/>
        </w:rPr>
        <w:t>высокими ценами на эту категорию продуктов.</w:t>
      </w:r>
    </w:p>
    <w:p w14:paraId="413825D4" w14:textId="7447391F" w:rsidR="004B2568" w:rsidRPr="007E39D8" w:rsidRDefault="004B2568" w:rsidP="00EB4A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E39D8">
        <w:rPr>
          <w:rFonts w:ascii="Times New Roman" w:hAnsi="Times New Roman" w:cs="Times New Roman"/>
          <w:sz w:val="24"/>
          <w:szCs w:val="24"/>
          <w:shd w:val="clear" w:color="auto" w:fill="FFFFFF"/>
        </w:rPr>
        <w:t>Если сравнивать рацион питания среднего пермяка и пермячки, то представительницы слабого пола реже включа</w:t>
      </w:r>
      <w:r w:rsidR="007E39D8" w:rsidRPr="007E39D8">
        <w:rPr>
          <w:rFonts w:ascii="Times New Roman" w:hAnsi="Times New Roman" w:cs="Times New Roman"/>
          <w:sz w:val="24"/>
          <w:szCs w:val="24"/>
          <w:shd w:val="clear" w:color="auto" w:fill="FFFFFF"/>
        </w:rPr>
        <w:t>ли</w:t>
      </w:r>
      <w:r w:rsidRPr="007E39D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него макаронные и мясные изделия (колбасы), всего 2 раза в неделю по сравнению с 3 у мужчин</w:t>
      </w:r>
      <w:r w:rsidR="00691D91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7E39D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обратно, чуть чаще на их тарелке можно</w:t>
      </w:r>
      <w:r w:rsidR="007E39D8" w:rsidRPr="007E39D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было</w:t>
      </w:r>
      <w:r w:rsidRPr="007E39D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обнаружить хлебобулочные изделия, фрукты и ягоды: хлеб и хлебобулочные изделия девушки и женщины, в среднем, потребляют практически ежедневно (мужчины в сравнении с ними только 5 раз в неделю), фрукты или ягоды </w:t>
      </w:r>
      <w:r w:rsidR="007E39D8" w:rsidRPr="007E39D8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="007E39D8" w:rsidRPr="007E39D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7E39D8">
        <w:rPr>
          <w:rFonts w:ascii="Times New Roman" w:hAnsi="Times New Roman" w:cs="Times New Roman"/>
          <w:sz w:val="24"/>
          <w:szCs w:val="24"/>
          <w:shd w:val="clear" w:color="auto" w:fill="FFFFFF"/>
        </w:rPr>
        <w:t>четырежды за семь дней (и трижды мужчины).</w:t>
      </w:r>
    </w:p>
    <w:p w14:paraId="0E2CF82F" w14:textId="6A2CE619" w:rsidR="003C0046" w:rsidRDefault="003C0046" w:rsidP="00C24C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C0046">
        <w:rPr>
          <w:rFonts w:ascii="Times New Roman" w:hAnsi="Times New Roman" w:cs="Times New Roman"/>
          <w:sz w:val="24"/>
          <w:szCs w:val="24"/>
          <w:shd w:val="clear" w:color="auto" w:fill="FFFFFF"/>
        </w:rPr>
        <w:t>В рамках исследования структуры питания жителей г. Перми</w:t>
      </w:r>
      <w:r w:rsidR="00E3468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2024 г.</w:t>
      </w:r>
      <w:r w:rsidRPr="003C004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был проведен </w:t>
      </w:r>
      <w:r w:rsidR="00E3468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</w:t>
      </w:r>
      <w:r w:rsidRPr="003C004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анализ уровня удовлетворенности качеством приобретаемых продуктов питания. Респондентам предлагалось оценить качество различных категорий продуктов по 7-балльной шкале, где 1 соответствовала полной неудовлетворенности, а 7 – полному удовлетворению. Медианные значения оценок для большинства категорий (овощи, хлебобулочные изделия, кондитерские изделия, мясо, птица, яйца, молоко, молочные продукты, крупы, безалкогольные напитки) находятся в диапазоне 6–7, что свидетельствует об относительно высокой общей удовлетворенности качеством данных продуктов. Для фруктов и мясных изделий медиана составила 5. Наименьшую удовлетворенность, согласно медианной оценке, демонстрируют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</w:t>
      </w:r>
      <w:r w:rsidRPr="003C004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алкогольные напитки (медиана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также </w:t>
      </w:r>
      <w:r w:rsidRPr="003C0046">
        <w:rPr>
          <w:rFonts w:ascii="Times New Roman" w:hAnsi="Times New Roman" w:cs="Times New Roman"/>
          <w:sz w:val="24"/>
          <w:szCs w:val="24"/>
          <w:shd w:val="clear" w:color="auto" w:fill="FFFFFF"/>
        </w:rPr>
        <w:t>5)</w:t>
      </w:r>
      <w:r w:rsidR="00237DD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7A3FF458" w14:textId="1834A7B1" w:rsidR="003C0046" w:rsidRDefault="00122F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22FF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Респондентам предлагалось оценить соответствие продуктов их представлениям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</w:t>
      </w:r>
      <w:r w:rsidRPr="00122FF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 </w:t>
      </w:r>
      <w:r w:rsidR="00237DD9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Pr="00122FFA">
        <w:rPr>
          <w:rFonts w:ascii="Times New Roman" w:hAnsi="Times New Roman" w:cs="Times New Roman"/>
          <w:sz w:val="24"/>
          <w:szCs w:val="24"/>
          <w:shd w:val="clear" w:color="auto" w:fill="FFFFFF"/>
        </w:rPr>
        <w:t>небезопасных для здоровья</w:t>
      </w:r>
      <w:r w:rsidR="00237DD9"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Pr="00122FF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используя шкалу от 1 до 7, где 1 соответствовало полному несоответствию, а 7 – полному соответствию. Анализ полученных данных выявил, что наибольшую обеспокоенность у населения вызывает безопасность алкогольных напитков, где 7,1% респондентов оценили их как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Pr="00122FFA">
        <w:rPr>
          <w:rFonts w:ascii="Times New Roman" w:hAnsi="Times New Roman" w:cs="Times New Roman"/>
          <w:sz w:val="24"/>
          <w:szCs w:val="24"/>
          <w:shd w:val="clear" w:color="auto" w:fill="FFFFFF"/>
        </w:rPr>
        <w:t>абсолютно не соответствующи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е»</w:t>
      </w:r>
      <w:r w:rsidRPr="00122FF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представлениям о безопасной продукции. В то же время, крупы получили наиболее высокие оценки безопасности, что отражает доверие потребителей к данной категории продуктов.</w:t>
      </w:r>
    </w:p>
    <w:p w14:paraId="6E877AF6" w14:textId="7784D349" w:rsidR="00122FFA" w:rsidRPr="00BE70B2" w:rsidRDefault="00122F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Последний аспект исследования</w:t>
      </w:r>
      <w:r w:rsidRPr="00122FF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включал </w:t>
      </w:r>
      <w:r w:rsidRPr="00122FFA">
        <w:rPr>
          <w:rFonts w:ascii="Times New Roman" w:hAnsi="Times New Roman" w:cs="Times New Roman"/>
          <w:sz w:val="24"/>
          <w:szCs w:val="24"/>
          <w:shd w:val="clear" w:color="auto" w:fill="FFFFFF"/>
        </w:rPr>
        <w:t>анализ</w:t>
      </w:r>
      <w:r w:rsidRPr="00122FF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восприятия ценовой доступности и качества различных групп продуктов. Медианные значения указывают на то, что большинство респондентов оценивают цены на фрукты, овощи, хлебобулочные и кондитерские изделия, мясо, птицу, яйца, молоко и молочные продукты, а также крупы как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Pr="00122FFA">
        <w:rPr>
          <w:rFonts w:ascii="Times New Roman" w:hAnsi="Times New Roman" w:cs="Times New Roman"/>
          <w:sz w:val="24"/>
          <w:szCs w:val="24"/>
          <w:shd w:val="clear" w:color="auto" w:fill="FFFFFF"/>
        </w:rPr>
        <w:t>средние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Pr="00122FFA">
        <w:rPr>
          <w:rFonts w:ascii="Times New Roman" w:hAnsi="Times New Roman" w:cs="Times New Roman"/>
          <w:sz w:val="24"/>
          <w:szCs w:val="24"/>
          <w:shd w:val="clear" w:color="auto" w:fill="FFFFFF"/>
        </w:rPr>
        <w:t>, при этом качество товаров в основном удовлетворительное. Примечательно, что цены на алкогольные напитки были оценены как низкие, но качество товаров оставляет желать лучшего. Наибольшая доля респондентов (более 40%) отметила соответствие цены и качества для овощей, хлебобулочных изделий, кондитерских изделий, молока и молочных продуктов. Для мяса и птицы значительная часть опрошенных посчитала цены скорее высокими, не вполне соответствующими качеству.</w:t>
      </w:r>
    </w:p>
    <w:p w14:paraId="35DAED3C" w14:textId="6F6B631E" w:rsidR="00122FFA" w:rsidRPr="00BE70B2" w:rsidRDefault="00C24C36" w:rsidP="005076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E70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рамках исследования структуры питания жителей г. Перми была проведена оценка частоты потребления различных групп продуктов. Анализ выявил, что хлебобулочные изделия и мясо являются одними из наиболее часто употребляемых категорий. Овощи и фрукты занимают важное место в рационе, хотя потребление фруктов несколько ниже, чем овощей. Выявлены гендерные различия: женщины чаще потребляют кондитерские изделия, мужчины – мясо и алкогольные напитки. С возрастом наблюдается тенденция к увеличению потребления фруктов и снижению потребления безалкогольных напитков. Оценка удовлетворенности качеством продуктов показала, что большинство категорий (овощи, хлебобулочные изделия, молочные продукты и др.) получили высокие оценки, за исключением алкогольных напитков. Анализ восприятия безопасности выявил наибольшую обеспокоенность </w:t>
      </w:r>
      <w:r w:rsidR="00F96258" w:rsidRPr="00BE70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также </w:t>
      </w:r>
      <w:r w:rsidRPr="00BE70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отношении алкогольной продукции. Большинство респондентов оценивают цены на продукты как средние, а качество </w:t>
      </w:r>
      <w:r w:rsidR="00F96258" w:rsidRPr="00BE70B2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Pr="00BE70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удовлетворительное.</w:t>
      </w:r>
    </w:p>
    <w:p w14:paraId="249225CE" w14:textId="761C8E3B" w:rsidR="00C24C36" w:rsidRPr="00BE70B2" w:rsidRDefault="005B764F" w:rsidP="00F962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E70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основании выявленной структуры питания жителей Перми можно сделать вывод о достаточном, но не оптимальном уровне продовольственного благополучия. Необходимы меры по стимулированию потребления фруктов и повышению осведомленности о рисках, </w:t>
      </w:r>
      <w:r w:rsidRPr="00BE70B2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связанных с чрезмерным употреблением мяса и алкоголя, для улучшения здоровья и долголетия населения.</w:t>
      </w:r>
    </w:p>
    <w:p w14:paraId="660BFC5B" w14:textId="77777777" w:rsidR="00E80063" w:rsidRPr="00BE70B2" w:rsidRDefault="00E80063" w:rsidP="00F96258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4DD2AB0" w14:textId="77777777" w:rsidR="00E80063" w:rsidRPr="00BE70B2" w:rsidRDefault="003278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70B2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63BB96E6" w14:textId="77777777" w:rsidR="0052767B" w:rsidRPr="00BE70B2" w:rsidRDefault="0073090F" w:rsidP="0073090F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70B2">
        <w:rPr>
          <w:rFonts w:ascii="Times New Roman" w:hAnsi="Times New Roman" w:cs="Times New Roman"/>
          <w:sz w:val="24"/>
          <w:szCs w:val="24"/>
        </w:rPr>
        <w:t>Алексенцева А.В., Осипова И.В., Репкина Т.В. Факторы риска сердечно-сосудистых заболеваний сельских жителей Алтайского края (по результатам исследования ЭССЕ-РФ) // Российский кардиологический журнал. 2021. № 26(5). С. 60–66. doi: 10.15829/1560-4071-2021-4374</w:t>
      </w:r>
      <w:r w:rsidR="00C62077" w:rsidRPr="00BE70B2">
        <w:rPr>
          <w:rFonts w:ascii="Times New Roman" w:hAnsi="Times New Roman" w:cs="Times New Roman"/>
          <w:sz w:val="24"/>
          <w:szCs w:val="24"/>
        </w:rPr>
        <w:t>.</w:t>
      </w:r>
    </w:p>
    <w:p w14:paraId="2E98E43A" w14:textId="77777777" w:rsidR="005706F0" w:rsidRPr="00BE70B2" w:rsidRDefault="00437E45" w:rsidP="005706F0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70B2">
        <w:rPr>
          <w:rFonts w:ascii="Times New Roman" w:hAnsi="Times New Roman" w:cs="Times New Roman"/>
          <w:sz w:val="24"/>
          <w:szCs w:val="24"/>
        </w:rPr>
        <w:t>Дементьева И.Н. Продовольственное благополучие жителей региона в контексте обеспечения продовольственной безопасности // Society and Security Insights. 2023. Т. 6. № 2. С. 99–115. doi: 10.14258/ssi(2023)2-07.</w:t>
      </w:r>
    </w:p>
    <w:p w14:paraId="32BEF1C8" w14:textId="77777777" w:rsidR="005F41F6" w:rsidRPr="00BE70B2" w:rsidRDefault="005F41F6" w:rsidP="005F41F6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70B2">
        <w:rPr>
          <w:rFonts w:ascii="Times New Roman" w:hAnsi="Times New Roman" w:cs="Times New Roman"/>
          <w:sz w:val="24"/>
          <w:szCs w:val="24"/>
        </w:rPr>
        <w:t>За год в Пермском крае изъято более 34 тонн опасных овощей и фруктов. 27 февраля 2025 // Новости Перми и Пермского края – Properm. URL: https://properm.ru/news/2025-02-27/za-god-v-permskom-krae-iz-yato-bolee-34-tonn-opasnyh-ovoschey-i-fruktov-5333590 (дата обращения: 15.03.2025).</w:t>
      </w:r>
    </w:p>
    <w:p w14:paraId="624E48F1" w14:textId="77777777" w:rsidR="006449C8" w:rsidRPr="00BE70B2" w:rsidRDefault="003D251B" w:rsidP="003D251B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70B2">
        <w:rPr>
          <w:rFonts w:ascii="Times New Roman" w:hAnsi="Times New Roman" w:cs="Times New Roman"/>
          <w:sz w:val="24"/>
          <w:szCs w:val="24"/>
        </w:rPr>
        <w:t>Томкович А.В. Продовольственная безопасность как элемент устойчивого развития // Балтийский экономический журнал. 2022. № 4(40). С. 11</w:t>
      </w:r>
      <w:r w:rsidR="0073090F" w:rsidRPr="00BE70B2">
        <w:rPr>
          <w:rFonts w:ascii="Times New Roman" w:hAnsi="Times New Roman" w:cs="Times New Roman"/>
          <w:sz w:val="24"/>
          <w:szCs w:val="24"/>
        </w:rPr>
        <w:t>–</w:t>
      </w:r>
      <w:r w:rsidRPr="00BE70B2">
        <w:rPr>
          <w:rFonts w:ascii="Times New Roman" w:hAnsi="Times New Roman" w:cs="Times New Roman"/>
          <w:sz w:val="24"/>
          <w:szCs w:val="24"/>
        </w:rPr>
        <w:t>21. doi: 10.46845/2073-3364-2022-0-4-11-21.</w:t>
      </w:r>
    </w:p>
    <w:p w14:paraId="705123BC" w14:textId="77777777" w:rsidR="00E80063" w:rsidRPr="00BE70B2" w:rsidRDefault="00E800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3D4C97F" w14:textId="77777777" w:rsidR="00E80063" w:rsidRPr="00BE70B2" w:rsidRDefault="0032781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BE70B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Информация об авторе</w:t>
      </w:r>
    </w:p>
    <w:p w14:paraId="4543040C" w14:textId="77777777" w:rsidR="006449C8" w:rsidRPr="00BE70B2" w:rsidRDefault="00B031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E70B2">
        <w:rPr>
          <w:rFonts w:ascii="Times New Roman" w:hAnsi="Times New Roman" w:cs="Times New Roman"/>
          <w:b/>
          <w:bCs/>
          <w:sz w:val="24"/>
          <w:szCs w:val="24"/>
        </w:rPr>
        <w:t>Сирковская Татьяна Владимировна</w:t>
      </w:r>
      <w:r w:rsidR="0032781D" w:rsidRPr="00BE70B2">
        <w:rPr>
          <w:rFonts w:ascii="Times New Roman" w:hAnsi="Times New Roman" w:cs="Times New Roman"/>
          <w:b/>
          <w:bCs/>
          <w:sz w:val="24"/>
          <w:szCs w:val="24"/>
        </w:rPr>
        <w:t xml:space="preserve"> (Россия, </w:t>
      </w:r>
      <w:r w:rsidRPr="00BE70B2">
        <w:rPr>
          <w:rFonts w:ascii="Times New Roman" w:hAnsi="Times New Roman" w:cs="Times New Roman"/>
          <w:b/>
          <w:bCs/>
          <w:sz w:val="24"/>
          <w:szCs w:val="24"/>
        </w:rPr>
        <w:t>Пермь</w:t>
      </w:r>
      <w:r w:rsidR="0032781D" w:rsidRPr="00BE70B2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32781D" w:rsidRPr="00BE70B2">
        <w:rPr>
          <w:rFonts w:ascii="Times New Roman" w:hAnsi="Times New Roman" w:cs="Times New Roman"/>
          <w:sz w:val="24"/>
          <w:szCs w:val="24"/>
        </w:rPr>
        <w:t xml:space="preserve"> – </w:t>
      </w:r>
      <w:r w:rsidR="006449C8" w:rsidRPr="00BE70B2">
        <w:rPr>
          <w:rFonts w:ascii="Times New Roman" w:hAnsi="Times New Roman" w:cs="Times New Roman"/>
          <w:sz w:val="24"/>
          <w:szCs w:val="24"/>
        </w:rPr>
        <w:t xml:space="preserve">ассистент кафедры социологии, ФГАОУ ВО «Пермский государственный национальный исследовательский университет» (614068, Россия, г. </w:t>
      </w:r>
      <w:r w:rsidR="00045F62" w:rsidRPr="00BE70B2">
        <w:rPr>
          <w:rFonts w:ascii="Times New Roman" w:hAnsi="Times New Roman" w:cs="Times New Roman"/>
          <w:sz w:val="24"/>
          <w:szCs w:val="24"/>
        </w:rPr>
        <w:t>Пермь, ул. Букирева</w:t>
      </w:r>
      <w:r w:rsidR="00045F62" w:rsidRPr="00BE70B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045F62" w:rsidRPr="00BE70B2">
        <w:rPr>
          <w:rFonts w:ascii="Times New Roman" w:hAnsi="Times New Roman" w:cs="Times New Roman"/>
          <w:sz w:val="24"/>
          <w:szCs w:val="24"/>
        </w:rPr>
        <w:t>д</w:t>
      </w:r>
      <w:r w:rsidR="00045F62" w:rsidRPr="00BE70B2">
        <w:rPr>
          <w:rFonts w:ascii="Times New Roman" w:hAnsi="Times New Roman" w:cs="Times New Roman"/>
          <w:sz w:val="24"/>
          <w:szCs w:val="24"/>
          <w:lang w:val="en-US"/>
        </w:rPr>
        <w:t>. 15; e</w:t>
      </w:r>
      <w:r w:rsidR="006449C8" w:rsidRPr="00BE70B2">
        <w:rPr>
          <w:rFonts w:ascii="Times New Roman" w:hAnsi="Times New Roman" w:cs="Times New Roman"/>
          <w:sz w:val="24"/>
          <w:szCs w:val="24"/>
          <w:lang w:val="en-US"/>
        </w:rPr>
        <w:t xml:space="preserve">-mail: </w:t>
      </w:r>
      <w:hyperlink r:id="rId8" w:history="1">
        <w:r w:rsidR="00045F62" w:rsidRPr="00BE70B2">
          <w:rPr>
            <w:rStyle w:val="af0"/>
            <w:rFonts w:ascii="Times New Roman" w:hAnsi="Times New Roman" w:cs="Times New Roman"/>
            <w:color w:val="auto"/>
            <w:sz w:val="24"/>
            <w:szCs w:val="24"/>
            <w:lang w:val="en-US"/>
          </w:rPr>
          <w:t>tsirk@psu.ru</w:t>
        </w:r>
      </w:hyperlink>
      <w:r w:rsidR="00045F62" w:rsidRPr="00BE70B2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36FF2464" w14:textId="77777777" w:rsidR="00E80063" w:rsidRPr="00BE70B2" w:rsidRDefault="00E8006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523D69C" w14:textId="77777777" w:rsidR="00E80063" w:rsidRPr="00BE70B2" w:rsidRDefault="00045F62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  <w:r w:rsidRPr="00BE70B2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Sirkovskaya</w:t>
      </w:r>
      <w:r w:rsidR="0032781D" w:rsidRPr="00BE70B2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 xml:space="preserve"> </w:t>
      </w:r>
      <w:r w:rsidRPr="00BE70B2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Т</w:t>
      </w:r>
      <w:r w:rsidR="0032781D" w:rsidRPr="00BE70B2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.</w:t>
      </w:r>
      <w:r w:rsidRPr="00BE70B2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V</w:t>
      </w:r>
      <w:r w:rsidR="0032781D" w:rsidRPr="00BE70B2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.</w:t>
      </w:r>
    </w:p>
    <w:p w14:paraId="7AED070B" w14:textId="77777777" w:rsidR="00E80063" w:rsidRPr="00BE70B2" w:rsidRDefault="00302B8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E70B2">
        <w:rPr>
          <w:rFonts w:ascii="Times New Roman" w:hAnsi="Times New Roman" w:cs="Times New Roman"/>
          <w:b/>
          <w:bCs/>
          <w:sz w:val="24"/>
          <w:szCs w:val="24"/>
          <w:lang w:val="en-US"/>
        </w:rPr>
        <w:t>FOOD WELL-BEING IN MEGAPOLIS (ON THE EXAMPLE OF ASSESSING THE NUTRITION STRUCTURE OF PERM RESIDENTS)</w:t>
      </w:r>
    </w:p>
    <w:p w14:paraId="7234323F" w14:textId="77777777" w:rsidR="00E80063" w:rsidRPr="00BE70B2" w:rsidRDefault="00E8006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7788176" w14:textId="38051419" w:rsidR="00E80063" w:rsidRPr="00BE70B2" w:rsidRDefault="003278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E70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="00BE70B2" w:rsidRPr="00BE70B2">
        <w:rPr>
          <w:rFonts w:ascii="Times New Roman" w:hAnsi="Times New Roman" w:cs="Times New Roman"/>
          <w:sz w:val="24"/>
          <w:szCs w:val="24"/>
          <w:lang w:val="en-US"/>
        </w:rPr>
        <w:t>The paper describes the nutrition structure of Perm residents in the context of food well-being. The characteristics of consumption of various food categories, gender and age differences are revealed. Satisfaction with the quality and safety of purchased products is assessed</w:t>
      </w:r>
      <w:r w:rsidRPr="00BE70B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50B7F55" w14:textId="59DF8F14" w:rsidR="00E80063" w:rsidRPr="00A90102" w:rsidRDefault="003278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E70B2"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Pr="00A90102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Pr="00A9010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90102" w:rsidRPr="00A90102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A90102" w:rsidRPr="00A90102">
        <w:rPr>
          <w:rFonts w:ascii="Times New Roman" w:hAnsi="Times New Roman" w:cs="Times New Roman"/>
          <w:sz w:val="24"/>
          <w:szCs w:val="24"/>
          <w:lang w:val="en-US"/>
        </w:rPr>
        <w:t>ood well-being, dietary structure, food quality, food safety, consumer perception</w:t>
      </w:r>
      <w:r w:rsidRPr="00A9010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520B632" w14:textId="77777777" w:rsidR="00E80063" w:rsidRPr="00A90102" w:rsidRDefault="0032781D" w:rsidP="00045F6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90102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14:paraId="32FA7F98" w14:textId="77777777" w:rsidR="00E80063" w:rsidRPr="000231A1" w:rsidRDefault="001246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90102">
        <w:rPr>
          <w:rFonts w:ascii="Times New Roman" w:hAnsi="Times New Roman" w:cs="Times New Roman"/>
          <w:b/>
          <w:bCs/>
          <w:sz w:val="24"/>
          <w:szCs w:val="24"/>
          <w:lang w:val="en-US"/>
        </w:rPr>
        <w:t>Sirkovskaya Tatyana Vladimirovna</w:t>
      </w:r>
      <w:r w:rsidR="0032781D" w:rsidRPr="00A9010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(Russia, </w:t>
      </w:r>
      <w:r w:rsidRPr="00A90102">
        <w:rPr>
          <w:rFonts w:ascii="Times New Roman" w:hAnsi="Times New Roman" w:cs="Times New Roman"/>
          <w:b/>
          <w:bCs/>
          <w:sz w:val="24"/>
          <w:szCs w:val="24"/>
          <w:lang w:val="en-US"/>
        </w:rPr>
        <w:t>Perm</w:t>
      </w:r>
      <w:r w:rsidR="0032781D" w:rsidRPr="00A90102">
        <w:rPr>
          <w:rFonts w:ascii="Times New Roman" w:hAnsi="Times New Roman" w:cs="Times New Roman"/>
          <w:b/>
          <w:bCs/>
          <w:sz w:val="24"/>
          <w:szCs w:val="24"/>
          <w:lang w:val="en-US"/>
        </w:rPr>
        <w:t>)</w:t>
      </w:r>
      <w:r w:rsidR="0032781D" w:rsidRPr="00A9010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9010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32781D" w:rsidRPr="00A9010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90102">
        <w:rPr>
          <w:rFonts w:ascii="Times New Roman" w:hAnsi="Times New Roman" w:cs="Times New Roman"/>
          <w:sz w:val="24"/>
          <w:szCs w:val="24"/>
          <w:lang w:val="en-US"/>
        </w:rPr>
        <w:t xml:space="preserve">assistant of the Department of Sociology, Perm State </w:t>
      </w:r>
      <w:r w:rsidRPr="000231A1">
        <w:rPr>
          <w:rFonts w:ascii="Times New Roman" w:hAnsi="Times New Roman" w:cs="Times New Roman"/>
          <w:sz w:val="24"/>
          <w:szCs w:val="24"/>
          <w:lang w:val="en-US"/>
        </w:rPr>
        <w:t>University</w:t>
      </w:r>
      <w:r w:rsidR="0032781D" w:rsidRPr="000231A1">
        <w:rPr>
          <w:rFonts w:ascii="Times New Roman" w:hAnsi="Times New Roman" w:cs="Times New Roman"/>
          <w:sz w:val="24"/>
          <w:szCs w:val="24"/>
          <w:lang w:val="en-US"/>
        </w:rPr>
        <w:t xml:space="preserve"> (Russia, </w:t>
      </w:r>
      <w:r w:rsidRPr="000231A1">
        <w:rPr>
          <w:rFonts w:ascii="Times New Roman" w:hAnsi="Times New Roman" w:cs="Times New Roman"/>
          <w:sz w:val="24"/>
          <w:szCs w:val="24"/>
          <w:lang w:val="en-US"/>
        </w:rPr>
        <w:t>614068</w:t>
      </w:r>
      <w:r w:rsidR="0032781D" w:rsidRPr="000231A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0231A1">
        <w:rPr>
          <w:rFonts w:ascii="Times New Roman" w:hAnsi="Times New Roman" w:cs="Times New Roman"/>
          <w:sz w:val="24"/>
          <w:szCs w:val="24"/>
          <w:lang w:val="en-US"/>
        </w:rPr>
        <w:t>Perm</w:t>
      </w:r>
      <w:r w:rsidR="0032781D" w:rsidRPr="000231A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0231A1">
        <w:rPr>
          <w:rFonts w:ascii="Times New Roman" w:hAnsi="Times New Roman" w:cs="Times New Roman"/>
          <w:sz w:val="24"/>
          <w:szCs w:val="24"/>
          <w:lang w:val="en-US"/>
        </w:rPr>
        <w:t>Bukireva</w:t>
      </w:r>
      <w:r w:rsidR="0032781D" w:rsidRPr="000231A1">
        <w:rPr>
          <w:rFonts w:ascii="Times New Roman" w:hAnsi="Times New Roman" w:cs="Times New Roman"/>
          <w:sz w:val="24"/>
          <w:szCs w:val="24"/>
          <w:lang w:val="en-US"/>
        </w:rPr>
        <w:t xml:space="preserve"> Str., </w:t>
      </w:r>
      <w:r w:rsidRPr="000231A1">
        <w:rPr>
          <w:rFonts w:ascii="Times New Roman" w:hAnsi="Times New Roman" w:cs="Times New Roman"/>
          <w:sz w:val="24"/>
          <w:szCs w:val="24"/>
          <w:lang w:val="en-US"/>
        </w:rPr>
        <w:t>15</w:t>
      </w:r>
      <w:r w:rsidR="0032781D" w:rsidRPr="000231A1">
        <w:rPr>
          <w:rFonts w:ascii="Times New Roman" w:hAnsi="Times New Roman" w:cs="Times New Roman"/>
          <w:sz w:val="24"/>
          <w:szCs w:val="24"/>
          <w:lang w:val="en-US"/>
        </w:rPr>
        <w:t xml:space="preserve">, e-mail: </w:t>
      </w:r>
      <w:r w:rsidRPr="000231A1">
        <w:rPr>
          <w:rFonts w:ascii="Times New Roman" w:hAnsi="Times New Roman" w:cs="Times New Roman"/>
          <w:sz w:val="24"/>
          <w:szCs w:val="24"/>
          <w:lang w:val="en-US"/>
        </w:rPr>
        <w:t>tsirk@psu.ru</w:t>
      </w:r>
      <w:r w:rsidR="0032781D" w:rsidRPr="000231A1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4EFDC57B" w14:textId="77777777" w:rsidR="00E80063" w:rsidRPr="000231A1" w:rsidRDefault="00E80063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</w:p>
    <w:p w14:paraId="788DE2A9" w14:textId="77777777" w:rsidR="003D251B" w:rsidRPr="000231A1" w:rsidRDefault="0032781D" w:rsidP="00C620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231A1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763D6B92" w14:textId="77777777" w:rsidR="00C62077" w:rsidRPr="000231A1" w:rsidRDefault="00C62077" w:rsidP="00C62077">
      <w:pPr>
        <w:pStyle w:val="a3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Aleksentseva A.V., Osipova I.V., Repkina T.V. Risk factors for cardiovascular diseases in rural residents of the Altai Krai: data from the ESSE-RF study // Russian Journal of Cardiology. 2021. No. 26 (5). Pp.</w:t>
      </w:r>
      <w:r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60-66. </w:t>
      </w:r>
      <w:r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(In Russ.) doi:</w:t>
      </w:r>
      <w:r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</w:t>
      </w:r>
      <w:r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10.15829/1560- 4071-2021-4374</w:t>
      </w:r>
      <w:r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.</w:t>
      </w:r>
    </w:p>
    <w:p w14:paraId="2D54BBBF" w14:textId="7BA7188C" w:rsidR="005706F0" w:rsidRPr="000231A1" w:rsidRDefault="006449C8" w:rsidP="005706F0">
      <w:pPr>
        <w:pStyle w:val="a3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Dementieva I.N. Food Welfare of Regional Residents in the Context of Food Security // Society and Security Insights. 2023. No. 6 (2). Pp. 99–115. (In Russ.). doi: 10.14258/ssi(2023)2-07.</w:t>
      </w:r>
      <w:r w:rsidR="003D251B"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</w:t>
      </w:r>
    </w:p>
    <w:p w14:paraId="4B1151FC" w14:textId="77777777" w:rsidR="00792D52" w:rsidRPr="00792D52" w:rsidRDefault="00792D52" w:rsidP="00792D52">
      <w:pPr>
        <w:pStyle w:val="a3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92D52">
        <w:rPr>
          <w:rFonts w:ascii="Times New Roman" w:hAnsi="Times New Roman" w:cs="Times New Roman"/>
          <w:sz w:val="24"/>
          <w:szCs w:val="24"/>
          <w:lang w:val="en-US"/>
        </w:rPr>
        <w:t xml:space="preserve">Over 34 tons of dangerous vegetables and fruits have been confiscated in Perm Krai in a year. February 27, 2025. </w:t>
      </w:r>
      <w:r w:rsidRPr="000231A1">
        <w:rPr>
          <w:rFonts w:ascii="Times New Roman" w:hAnsi="Times New Roman" w:cs="Times New Roman"/>
          <w:sz w:val="24"/>
          <w:szCs w:val="24"/>
          <w:lang w:val="en-US"/>
        </w:rPr>
        <w:t>Available at:</w:t>
      </w:r>
      <w:r w:rsidRPr="00792D52">
        <w:rPr>
          <w:rFonts w:ascii="Times New Roman" w:hAnsi="Times New Roman" w:cs="Times New Roman"/>
          <w:sz w:val="24"/>
          <w:szCs w:val="24"/>
          <w:lang w:val="en-US"/>
        </w:rPr>
        <w:t xml:space="preserve"> https://properm.ru/news/2025-02-27/za-god-v-permskom-krae-iz-yato-bolee-34-tonn-opasnyh-ovoschey-i-fruktov-5333590</w:t>
      </w:r>
    </w:p>
    <w:p w14:paraId="72830A88" w14:textId="77777777" w:rsidR="006449C8" w:rsidRPr="000231A1" w:rsidRDefault="003D251B" w:rsidP="00F445D0">
      <w:pPr>
        <w:pStyle w:val="a3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Tomkovich A.V. Food security as an element of sustainable development // Regional and sectoral economy. 2022. No. 4</w:t>
      </w:r>
      <w:r w:rsidR="00C62077"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</w:t>
      </w:r>
      <w:r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(40). Pp. 11</w:t>
      </w:r>
      <w:r w:rsidR="0073090F" w:rsidRPr="000231A1">
        <w:rPr>
          <w:rFonts w:ascii="Times New Roman" w:hAnsi="Times New Roman" w:cs="Times New Roman"/>
          <w:sz w:val="24"/>
          <w:szCs w:val="24"/>
        </w:rPr>
        <w:t>–</w:t>
      </w:r>
      <w:r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22. (in Russ). doi:</w:t>
      </w:r>
      <w:r w:rsidR="00C62077"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</w:t>
      </w:r>
      <w:r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10.46845/2073-3364-2022-0-4-11-21</w:t>
      </w:r>
      <w:r w:rsidR="00C62077" w:rsidRPr="000231A1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.</w:t>
      </w:r>
    </w:p>
    <w:sectPr w:rsidR="006449C8" w:rsidRPr="000231A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B093A7" w14:textId="77777777" w:rsidR="00364DF0" w:rsidRDefault="00364DF0">
      <w:pPr>
        <w:spacing w:after="0" w:line="240" w:lineRule="auto"/>
      </w:pPr>
      <w:r>
        <w:separator/>
      </w:r>
    </w:p>
  </w:endnote>
  <w:endnote w:type="continuationSeparator" w:id="0">
    <w:p w14:paraId="7B8BFE08" w14:textId="77777777" w:rsidR="00364DF0" w:rsidRDefault="00364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9861F0" w14:textId="77777777" w:rsidR="00364DF0" w:rsidRDefault="00364DF0">
      <w:pPr>
        <w:spacing w:after="0" w:line="240" w:lineRule="auto"/>
      </w:pPr>
      <w:r>
        <w:separator/>
      </w:r>
    </w:p>
  </w:footnote>
  <w:footnote w:type="continuationSeparator" w:id="0">
    <w:p w14:paraId="08BAB819" w14:textId="77777777" w:rsidR="00364DF0" w:rsidRDefault="00364DF0">
      <w:pPr>
        <w:spacing w:after="0" w:line="240" w:lineRule="auto"/>
      </w:pPr>
      <w:r>
        <w:continuationSeparator/>
      </w:r>
    </w:p>
  </w:footnote>
  <w:footnote w:id="1">
    <w:p w14:paraId="1FBD1D6D" w14:textId="1F3AA6CD" w:rsidR="00375073" w:rsidRDefault="00375073">
      <w:pPr>
        <w:pStyle w:val="afb"/>
      </w:pPr>
      <w:r>
        <w:rPr>
          <w:rStyle w:val="afd"/>
        </w:rPr>
        <w:footnoteRef/>
      </w:r>
      <w:r>
        <w:t xml:space="preserve"> </w:t>
      </w:r>
      <w:r w:rsidRPr="00375073">
        <w:t>Доктрина продовольственной безопасности Российской Федерации. Утверждена Указом Президента Российской Федерации от 30 января 2010 года № 120 // Совет Безопасности Российской Федерации. URL: http://www.scrf.gov.ru/security/economic/document108/ (дата обращения: 15.03.2025).</w:t>
      </w:r>
    </w:p>
  </w:footnote>
  <w:footnote w:id="2">
    <w:p w14:paraId="7A1B9F5E" w14:textId="423A43BE" w:rsidR="0064049C" w:rsidRPr="00237DD9" w:rsidRDefault="0064049C" w:rsidP="00237DD9">
      <w:pPr>
        <w:pStyle w:val="afb"/>
      </w:pPr>
      <w:r w:rsidRPr="00237DD9">
        <w:rPr>
          <w:rStyle w:val="afd"/>
        </w:rPr>
        <w:footnoteRef/>
      </w:r>
      <w:r w:rsidRPr="00237DD9">
        <w:t xml:space="preserve"> </w:t>
      </w:r>
      <w:r w:rsidR="00691D91">
        <w:t>Применялся</w:t>
      </w:r>
      <w:r w:rsidR="00691D91" w:rsidRPr="00237DD9">
        <w:t xml:space="preserve"> корреляционный анализ (с помощью коэффициента ранговой корреляции Спирмена (ρ)).</w:t>
      </w:r>
      <w:r w:rsidR="00691D91">
        <w:t xml:space="preserve"> О</w:t>
      </w:r>
      <w:r w:rsidRPr="00237DD9">
        <w:t>писыва</w:t>
      </w:r>
      <w:r w:rsidR="00691D91">
        <w:t>лись</w:t>
      </w:r>
      <w:r w:rsidRPr="00237DD9">
        <w:t xml:space="preserve"> корреляции, статистически значимые на уровне p ≤ 0,05.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6E5261"/>
    <w:multiLevelType w:val="hybridMultilevel"/>
    <w:tmpl w:val="A45E12F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C8610D0"/>
    <w:multiLevelType w:val="hybridMultilevel"/>
    <w:tmpl w:val="C1906196"/>
    <w:lvl w:ilvl="0" w:tplc="5776AF44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456CB4"/>
    <w:multiLevelType w:val="hybridMultilevel"/>
    <w:tmpl w:val="252C8018"/>
    <w:lvl w:ilvl="0" w:tplc="7E8AE63E">
      <w:start w:val="1"/>
      <w:numFmt w:val="decimal"/>
      <w:lvlText w:val="%1."/>
      <w:lvlJc w:val="left"/>
      <w:pPr>
        <w:ind w:left="1418" w:hanging="360"/>
      </w:pPr>
    </w:lvl>
    <w:lvl w:ilvl="1" w:tplc="9586C876">
      <w:start w:val="1"/>
      <w:numFmt w:val="lowerLetter"/>
      <w:lvlText w:val="%2."/>
      <w:lvlJc w:val="left"/>
      <w:pPr>
        <w:ind w:left="2138" w:hanging="360"/>
      </w:pPr>
    </w:lvl>
    <w:lvl w:ilvl="2" w:tplc="F7C847EE">
      <w:start w:val="1"/>
      <w:numFmt w:val="lowerRoman"/>
      <w:lvlText w:val="%3."/>
      <w:lvlJc w:val="right"/>
      <w:pPr>
        <w:ind w:left="2858" w:hanging="180"/>
      </w:pPr>
    </w:lvl>
    <w:lvl w:ilvl="3" w:tplc="E9CE1ED8">
      <w:start w:val="1"/>
      <w:numFmt w:val="decimal"/>
      <w:lvlText w:val="%4."/>
      <w:lvlJc w:val="left"/>
      <w:pPr>
        <w:ind w:left="3578" w:hanging="360"/>
      </w:pPr>
    </w:lvl>
    <w:lvl w:ilvl="4" w:tplc="CE0C3106">
      <w:start w:val="1"/>
      <w:numFmt w:val="lowerLetter"/>
      <w:lvlText w:val="%5."/>
      <w:lvlJc w:val="left"/>
      <w:pPr>
        <w:ind w:left="4298" w:hanging="360"/>
      </w:pPr>
    </w:lvl>
    <w:lvl w:ilvl="5" w:tplc="2B4EA1CC">
      <w:start w:val="1"/>
      <w:numFmt w:val="lowerRoman"/>
      <w:lvlText w:val="%6."/>
      <w:lvlJc w:val="right"/>
      <w:pPr>
        <w:ind w:left="5018" w:hanging="180"/>
      </w:pPr>
    </w:lvl>
    <w:lvl w:ilvl="6" w:tplc="85881C84">
      <w:start w:val="1"/>
      <w:numFmt w:val="decimal"/>
      <w:lvlText w:val="%7."/>
      <w:lvlJc w:val="left"/>
      <w:pPr>
        <w:ind w:left="5738" w:hanging="360"/>
      </w:pPr>
    </w:lvl>
    <w:lvl w:ilvl="7" w:tplc="42DEACA8">
      <w:start w:val="1"/>
      <w:numFmt w:val="lowerLetter"/>
      <w:lvlText w:val="%8."/>
      <w:lvlJc w:val="left"/>
      <w:pPr>
        <w:ind w:left="6458" w:hanging="360"/>
      </w:pPr>
    </w:lvl>
    <w:lvl w:ilvl="8" w:tplc="463E10D4">
      <w:start w:val="1"/>
      <w:numFmt w:val="lowerRoman"/>
      <w:lvlText w:val="%9."/>
      <w:lvlJc w:val="right"/>
      <w:pPr>
        <w:ind w:left="7178" w:hanging="180"/>
      </w:pPr>
    </w:lvl>
  </w:abstractNum>
  <w:abstractNum w:abstractNumId="3" w15:restartNumberingAfterBreak="0">
    <w:nsid w:val="6F5C5FC6"/>
    <w:multiLevelType w:val="hybridMultilevel"/>
    <w:tmpl w:val="DBDAF89A"/>
    <w:lvl w:ilvl="0" w:tplc="F6B0639C">
      <w:start w:val="1"/>
      <w:numFmt w:val="decimal"/>
      <w:lvlText w:val="%1."/>
      <w:lvlJc w:val="left"/>
      <w:pPr>
        <w:ind w:left="1417" w:hanging="360"/>
      </w:pPr>
    </w:lvl>
    <w:lvl w:ilvl="1" w:tplc="CC66FC36">
      <w:start w:val="1"/>
      <w:numFmt w:val="lowerLetter"/>
      <w:lvlText w:val="%2."/>
      <w:lvlJc w:val="left"/>
      <w:pPr>
        <w:ind w:left="2137" w:hanging="360"/>
      </w:pPr>
    </w:lvl>
    <w:lvl w:ilvl="2" w:tplc="415E055C">
      <w:start w:val="1"/>
      <w:numFmt w:val="lowerRoman"/>
      <w:lvlText w:val="%3."/>
      <w:lvlJc w:val="right"/>
      <w:pPr>
        <w:ind w:left="2857" w:hanging="180"/>
      </w:pPr>
    </w:lvl>
    <w:lvl w:ilvl="3" w:tplc="F31C1ECA">
      <w:start w:val="1"/>
      <w:numFmt w:val="decimal"/>
      <w:lvlText w:val="%4."/>
      <w:lvlJc w:val="left"/>
      <w:pPr>
        <w:ind w:left="3577" w:hanging="360"/>
      </w:pPr>
    </w:lvl>
    <w:lvl w:ilvl="4" w:tplc="87AEC654">
      <w:start w:val="1"/>
      <w:numFmt w:val="lowerLetter"/>
      <w:lvlText w:val="%5."/>
      <w:lvlJc w:val="left"/>
      <w:pPr>
        <w:ind w:left="4297" w:hanging="360"/>
      </w:pPr>
    </w:lvl>
    <w:lvl w:ilvl="5" w:tplc="268C1C70">
      <w:start w:val="1"/>
      <w:numFmt w:val="lowerRoman"/>
      <w:lvlText w:val="%6."/>
      <w:lvlJc w:val="right"/>
      <w:pPr>
        <w:ind w:left="5017" w:hanging="180"/>
      </w:pPr>
    </w:lvl>
    <w:lvl w:ilvl="6" w:tplc="6A084210">
      <w:start w:val="1"/>
      <w:numFmt w:val="decimal"/>
      <w:lvlText w:val="%7."/>
      <w:lvlJc w:val="left"/>
      <w:pPr>
        <w:ind w:left="5737" w:hanging="360"/>
      </w:pPr>
    </w:lvl>
    <w:lvl w:ilvl="7" w:tplc="E082616A">
      <w:start w:val="1"/>
      <w:numFmt w:val="lowerLetter"/>
      <w:lvlText w:val="%8."/>
      <w:lvlJc w:val="left"/>
      <w:pPr>
        <w:ind w:left="6457" w:hanging="360"/>
      </w:pPr>
    </w:lvl>
    <w:lvl w:ilvl="8" w:tplc="A2EE1FE8">
      <w:start w:val="1"/>
      <w:numFmt w:val="lowerRoman"/>
      <w:lvlText w:val="%9."/>
      <w:lvlJc w:val="right"/>
      <w:pPr>
        <w:ind w:left="7177" w:hanging="180"/>
      </w:pPr>
    </w:lvl>
  </w:abstractNum>
  <w:abstractNum w:abstractNumId="4" w15:restartNumberingAfterBreak="0">
    <w:nsid w:val="7E2C39A8"/>
    <w:multiLevelType w:val="hybridMultilevel"/>
    <w:tmpl w:val="46DA88A2"/>
    <w:lvl w:ilvl="0" w:tplc="546AF4E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5972E0E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E74CD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D288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58900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5A28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9C52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F64B8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622CE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C46E23"/>
    <w:multiLevelType w:val="hybridMultilevel"/>
    <w:tmpl w:val="E876912C"/>
    <w:lvl w:ilvl="0" w:tplc="D6949042">
      <w:start w:val="1"/>
      <w:numFmt w:val="decimal"/>
      <w:lvlText w:val="%1."/>
      <w:lvlJc w:val="left"/>
      <w:pPr>
        <w:ind w:left="709" w:hanging="360"/>
      </w:pPr>
    </w:lvl>
    <w:lvl w:ilvl="1" w:tplc="B6AA2A0C">
      <w:start w:val="1"/>
      <w:numFmt w:val="lowerLetter"/>
      <w:lvlText w:val="%2."/>
      <w:lvlJc w:val="left"/>
      <w:pPr>
        <w:ind w:left="1429" w:hanging="360"/>
      </w:pPr>
    </w:lvl>
    <w:lvl w:ilvl="2" w:tplc="9960810C">
      <w:start w:val="1"/>
      <w:numFmt w:val="lowerRoman"/>
      <w:lvlText w:val="%3."/>
      <w:lvlJc w:val="right"/>
      <w:pPr>
        <w:ind w:left="2149" w:hanging="180"/>
      </w:pPr>
    </w:lvl>
    <w:lvl w:ilvl="3" w:tplc="37C28FC8">
      <w:start w:val="1"/>
      <w:numFmt w:val="decimal"/>
      <w:lvlText w:val="%4."/>
      <w:lvlJc w:val="left"/>
      <w:pPr>
        <w:ind w:left="2869" w:hanging="360"/>
      </w:pPr>
    </w:lvl>
    <w:lvl w:ilvl="4" w:tplc="576C33EA">
      <w:start w:val="1"/>
      <w:numFmt w:val="lowerLetter"/>
      <w:lvlText w:val="%5."/>
      <w:lvlJc w:val="left"/>
      <w:pPr>
        <w:ind w:left="3589" w:hanging="360"/>
      </w:pPr>
    </w:lvl>
    <w:lvl w:ilvl="5" w:tplc="E83E3268">
      <w:start w:val="1"/>
      <w:numFmt w:val="lowerRoman"/>
      <w:lvlText w:val="%6."/>
      <w:lvlJc w:val="right"/>
      <w:pPr>
        <w:ind w:left="4309" w:hanging="180"/>
      </w:pPr>
    </w:lvl>
    <w:lvl w:ilvl="6" w:tplc="0B4814C6">
      <w:start w:val="1"/>
      <w:numFmt w:val="decimal"/>
      <w:lvlText w:val="%7."/>
      <w:lvlJc w:val="left"/>
      <w:pPr>
        <w:ind w:left="5029" w:hanging="360"/>
      </w:pPr>
    </w:lvl>
    <w:lvl w:ilvl="7" w:tplc="562E9364">
      <w:start w:val="1"/>
      <w:numFmt w:val="lowerLetter"/>
      <w:lvlText w:val="%8."/>
      <w:lvlJc w:val="left"/>
      <w:pPr>
        <w:ind w:left="5749" w:hanging="360"/>
      </w:pPr>
    </w:lvl>
    <w:lvl w:ilvl="8" w:tplc="D1E25DA4">
      <w:start w:val="1"/>
      <w:numFmt w:val="lowerRoman"/>
      <w:lvlText w:val="%9."/>
      <w:lvlJc w:val="right"/>
      <w:pPr>
        <w:ind w:left="6469" w:hanging="180"/>
      </w:pPr>
    </w:lvl>
  </w:abstractNum>
  <w:num w:numId="1" w16cid:durableId="297153917">
    <w:abstractNumId w:val="4"/>
  </w:num>
  <w:num w:numId="2" w16cid:durableId="744231551">
    <w:abstractNumId w:val="2"/>
  </w:num>
  <w:num w:numId="3" w16cid:durableId="1764767358">
    <w:abstractNumId w:val="5"/>
  </w:num>
  <w:num w:numId="4" w16cid:durableId="390155123">
    <w:abstractNumId w:val="3"/>
  </w:num>
  <w:num w:numId="5" w16cid:durableId="1776628489">
    <w:abstractNumId w:val="0"/>
  </w:num>
  <w:num w:numId="6" w16cid:durableId="14570944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0063"/>
    <w:rsid w:val="000231A1"/>
    <w:rsid w:val="00045F62"/>
    <w:rsid w:val="00076E2A"/>
    <w:rsid w:val="000B4219"/>
    <w:rsid w:val="00122FFA"/>
    <w:rsid w:val="0012466A"/>
    <w:rsid w:val="00140741"/>
    <w:rsid w:val="00195DBD"/>
    <w:rsid w:val="001D2FEB"/>
    <w:rsid w:val="001F1A78"/>
    <w:rsid w:val="00237DD9"/>
    <w:rsid w:val="0026427F"/>
    <w:rsid w:val="002730EC"/>
    <w:rsid w:val="0027669F"/>
    <w:rsid w:val="00302B80"/>
    <w:rsid w:val="003154FD"/>
    <w:rsid w:val="00325ACF"/>
    <w:rsid w:val="0032781D"/>
    <w:rsid w:val="00364DF0"/>
    <w:rsid w:val="00375073"/>
    <w:rsid w:val="00393B8B"/>
    <w:rsid w:val="003C0046"/>
    <w:rsid w:val="003D251B"/>
    <w:rsid w:val="0041727A"/>
    <w:rsid w:val="00437E45"/>
    <w:rsid w:val="004B2568"/>
    <w:rsid w:val="004D6430"/>
    <w:rsid w:val="004F7AFD"/>
    <w:rsid w:val="00507605"/>
    <w:rsid w:val="0052767B"/>
    <w:rsid w:val="005439D7"/>
    <w:rsid w:val="0056327A"/>
    <w:rsid w:val="005706F0"/>
    <w:rsid w:val="00573F36"/>
    <w:rsid w:val="00593772"/>
    <w:rsid w:val="00596D29"/>
    <w:rsid w:val="005B764F"/>
    <w:rsid w:val="005E678E"/>
    <w:rsid w:val="005F41F6"/>
    <w:rsid w:val="00626FD8"/>
    <w:rsid w:val="0064049C"/>
    <w:rsid w:val="006449C8"/>
    <w:rsid w:val="0064546F"/>
    <w:rsid w:val="00666E2F"/>
    <w:rsid w:val="00691D91"/>
    <w:rsid w:val="006A2C7B"/>
    <w:rsid w:val="0072017C"/>
    <w:rsid w:val="0073090F"/>
    <w:rsid w:val="00734D26"/>
    <w:rsid w:val="0074126C"/>
    <w:rsid w:val="007602F7"/>
    <w:rsid w:val="00765AED"/>
    <w:rsid w:val="00792D52"/>
    <w:rsid w:val="007D3F0F"/>
    <w:rsid w:val="007E39D8"/>
    <w:rsid w:val="00817D6A"/>
    <w:rsid w:val="008B7C1D"/>
    <w:rsid w:val="008E31DB"/>
    <w:rsid w:val="008E6E16"/>
    <w:rsid w:val="00910EAF"/>
    <w:rsid w:val="00934AB1"/>
    <w:rsid w:val="009453AB"/>
    <w:rsid w:val="009D6F08"/>
    <w:rsid w:val="00A90102"/>
    <w:rsid w:val="00AB3B5F"/>
    <w:rsid w:val="00AC21A3"/>
    <w:rsid w:val="00B01B46"/>
    <w:rsid w:val="00B03100"/>
    <w:rsid w:val="00B15DF9"/>
    <w:rsid w:val="00B45104"/>
    <w:rsid w:val="00BB0D0D"/>
    <w:rsid w:val="00BC7833"/>
    <w:rsid w:val="00BE0F48"/>
    <w:rsid w:val="00BE70B2"/>
    <w:rsid w:val="00C24C36"/>
    <w:rsid w:val="00C30260"/>
    <w:rsid w:val="00C3396E"/>
    <w:rsid w:val="00C379A2"/>
    <w:rsid w:val="00C62077"/>
    <w:rsid w:val="00CA4EDE"/>
    <w:rsid w:val="00CD7962"/>
    <w:rsid w:val="00D32274"/>
    <w:rsid w:val="00DA340E"/>
    <w:rsid w:val="00DC4F1E"/>
    <w:rsid w:val="00DC63C7"/>
    <w:rsid w:val="00DD4382"/>
    <w:rsid w:val="00DE5C20"/>
    <w:rsid w:val="00E34681"/>
    <w:rsid w:val="00E658FB"/>
    <w:rsid w:val="00E80063"/>
    <w:rsid w:val="00E87B6C"/>
    <w:rsid w:val="00EB4A24"/>
    <w:rsid w:val="00EE1AA9"/>
    <w:rsid w:val="00F445D0"/>
    <w:rsid w:val="00F96258"/>
    <w:rsid w:val="00FD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277571"/>
  <w15:docId w15:val="{B8FF2C09-F8B1-4297-AC20-8889E3F40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after="0" w:line="240" w:lineRule="auto"/>
    </w:p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basedOn w:val="a0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  <w:rPr>
      <w:sz w:val="24"/>
      <w:szCs w:val="24"/>
    </w:rPr>
  </w:style>
  <w:style w:type="character" w:customStyle="1" w:styleId="a8">
    <w:name w:val="Подзаголовок Знак"/>
    <w:basedOn w:val="a0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472C4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537DC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5B9BD5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1" w:themeTint="34" w:fill="D8E2F3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1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band1Vert">
      <w:tblPr/>
      <w:tcPr>
        <w:shd w:val="clear" w:color="A9BEE4" w:themeColor="accent1" w:themeTint="75" w:fill="A9BEE4" w:themeFill="accent1" w:themeFillTint="75"/>
      </w:tcPr>
    </w:tblStylePr>
    <w:tblStylePr w:type="band1Horz">
      <w:tblPr/>
      <w:tcPr>
        <w:shd w:val="clear" w:color="A9BEE4" w:themeColor="accent1" w:themeTint="75" w:fill="A9BEE4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DDEAF6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band1Vert">
      <w:tblPr/>
      <w:tcPr>
        <w:shd w:val="clear" w:color="B3D0EB" w:themeColor="accent5" w:themeTint="75" w:fill="B3D0EB" w:themeFill="accent5" w:themeFillTint="75"/>
      </w:tcPr>
    </w:tblStylePr>
    <w:tblStylePr w:type="band1Horz">
      <w:tblPr/>
      <w:tcPr>
        <w:shd w:val="clear" w:color="B3D0EB" w:themeColor="accent5" w:themeTint="75" w:fill="B3D0EB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0B7E1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0B7E1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single" w:sz="4" w:space="0" w:color="A2C6E7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4472C4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4472C4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9BC2E5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single" w:sz="4" w:space="0" w:color="4472C4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C2E5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BC2E5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563C1" w:themeColor="hyperlink"/>
      <w:u w:val="single"/>
    </w:rPr>
  </w:style>
  <w:style w:type="character" w:customStyle="1" w:styleId="FootnoteTextChar">
    <w:name w:val="Footnote Text Char"/>
    <w:uiPriority w:val="99"/>
    <w:rPr>
      <w:sz w:val="18"/>
    </w:rPr>
  </w:style>
  <w:style w:type="paragraph" w:styleId="af1">
    <w:name w:val="endnote text"/>
    <w:basedOn w:val="a"/>
    <w:link w:val="af2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2">
    <w:name w:val="Текст концевой сноски Знак"/>
    <w:link w:val="af1"/>
    <w:uiPriority w:val="99"/>
    <w:rPr>
      <w:sz w:val="20"/>
    </w:rPr>
  </w:style>
  <w:style w:type="character" w:styleId="af3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  <w:pPr>
      <w:spacing w:after="0"/>
    </w:pPr>
  </w:style>
  <w:style w:type="paragraph" w:customStyle="1" w:styleId="af6">
    <w:name w:val="Таблица ГОСТ"/>
    <w:basedOn w:val="a"/>
    <w:link w:val="af7"/>
    <w:qFormat/>
    <w:pPr>
      <w:keepNext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7">
    <w:name w:val="Таблица ГОСТ Знак"/>
    <w:basedOn w:val="a0"/>
    <w:link w:val="af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8">
    <w:name w:val="Рисунки в статье"/>
    <w:basedOn w:val="a"/>
    <w:link w:val="af9"/>
    <w:qFormat/>
    <w:pPr>
      <w:spacing w:after="0" w:line="240" w:lineRule="auto"/>
      <w:jc w:val="center"/>
    </w:pPr>
    <w:rPr>
      <w:rFonts w:ascii="Times New Roman" w:hAnsi="Times New Roman" w:cs="Times New Roman"/>
      <w:sz w:val="28"/>
      <w:szCs w:val="28"/>
    </w:rPr>
  </w:style>
  <w:style w:type="character" w:customStyle="1" w:styleId="af9">
    <w:name w:val="Рисунки в статье Знак"/>
    <w:basedOn w:val="a0"/>
    <w:link w:val="af8"/>
    <w:rPr>
      <w:rFonts w:ascii="Times New Roman" w:hAnsi="Times New Roman" w:cs="Times New Roman"/>
      <w:sz w:val="28"/>
      <w:szCs w:val="28"/>
    </w:rPr>
  </w:style>
  <w:style w:type="table" w:styleId="afa">
    <w:name w:val="Table Grid"/>
    <w:basedOn w:val="a1"/>
    <w:uiPriority w:val="39"/>
    <w:qFormat/>
    <w:pPr>
      <w:spacing w:after="0" w:line="240" w:lineRule="auto"/>
      <w:jc w:val="both"/>
    </w:pPr>
    <w:rPr>
      <w:rFonts w:ascii="Times New Roman" w:hAnsi="Times New Roman" w:cs="Times New Roman"/>
      <w:sz w:val="24"/>
      <w:szCs w:val="24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b">
    <w:name w:val="footnote text"/>
    <w:basedOn w:val="a"/>
    <w:link w:val="afc"/>
    <w:uiPriority w:val="99"/>
    <w:unhideWhenUsed/>
    <w:qFormat/>
    <w:pPr>
      <w:spacing w:after="0" w:line="240" w:lineRule="auto"/>
      <w:jc w:val="both"/>
    </w:pPr>
    <w:rPr>
      <w:rFonts w:ascii="Times New Roman" w:hAnsi="Times New Roman" w:cs="Times New Roman"/>
      <w:sz w:val="20"/>
      <w:szCs w:val="20"/>
    </w:rPr>
  </w:style>
  <w:style w:type="character" w:customStyle="1" w:styleId="afc">
    <w:name w:val="Текст сноски Знак"/>
    <w:basedOn w:val="a0"/>
    <w:link w:val="afb"/>
    <w:uiPriority w:val="99"/>
    <w:rPr>
      <w:rFonts w:ascii="Times New Roman" w:hAnsi="Times New Roman" w:cs="Times New Roman"/>
      <w:sz w:val="20"/>
      <w:szCs w:val="20"/>
    </w:rPr>
  </w:style>
  <w:style w:type="character" w:styleId="afd">
    <w:name w:val="footnote reference"/>
    <w:basedOn w:val="a0"/>
    <w:uiPriority w:val="99"/>
    <w:unhideWhenUsed/>
    <w:qFormat/>
    <w:rPr>
      <w:vertAlign w:val="superscript"/>
    </w:rPr>
  </w:style>
  <w:style w:type="character" w:styleId="afe">
    <w:name w:val="Unresolved Mention"/>
    <w:basedOn w:val="a0"/>
    <w:uiPriority w:val="99"/>
    <w:semiHidden/>
    <w:unhideWhenUsed/>
    <w:rsid w:val="00910E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034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sirk@psu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0E2B63-BCBD-496C-827F-58F70B5457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5</Pages>
  <Words>2649</Words>
  <Characters>15104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Татьяна Сирковская</cp:lastModifiedBy>
  <cp:revision>104</cp:revision>
  <dcterms:created xsi:type="dcterms:W3CDTF">2024-02-05T06:51:00Z</dcterms:created>
  <dcterms:modified xsi:type="dcterms:W3CDTF">2025-03-20T18:15:00Z</dcterms:modified>
</cp:coreProperties>
</file>